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95" w:rsidRDefault="009279BC" w:rsidP="007F4995">
      <w:r>
        <w:rPr>
          <w:noProof/>
          <w:color w:val="D9D9D9"/>
          <w:sz w:val="96"/>
        </w:rPr>
        <w:drawing>
          <wp:inline distT="0" distB="0" distL="0" distR="0">
            <wp:extent cx="6124575" cy="11334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4575" cy="1133475"/>
                    </a:xfrm>
                    <a:prstGeom prst="rect">
                      <a:avLst/>
                    </a:prstGeom>
                    <a:noFill/>
                    <a:ln>
                      <a:noFill/>
                    </a:ln>
                  </pic:spPr>
                </pic:pic>
              </a:graphicData>
            </a:graphic>
          </wp:inline>
        </w:drawing>
      </w:r>
    </w:p>
    <w:p w:rsidR="007F4995" w:rsidRDefault="007F4995" w:rsidP="007F4995"/>
    <w:p w:rsidR="007F4995" w:rsidRPr="009044EF" w:rsidRDefault="00BE2EA0" w:rsidP="007F4995">
      <w:pPr>
        <w:pStyle w:val="Heading4"/>
        <w:rPr>
          <w:rFonts w:ascii="Arial" w:hAnsi="Arial" w:cs="Arial"/>
          <w:sz w:val="24"/>
          <w:szCs w:val="24"/>
        </w:rPr>
      </w:pPr>
      <w:r>
        <w:rPr>
          <w:rFonts w:ascii="Arial" w:hAnsi="Arial" w:cs="Arial"/>
          <w:sz w:val="24"/>
          <w:szCs w:val="24"/>
        </w:rPr>
        <w:t xml:space="preserve">Special </w:t>
      </w:r>
      <w:r w:rsidR="005D3FCD" w:rsidRPr="009044EF">
        <w:rPr>
          <w:rFonts w:ascii="Arial" w:hAnsi="Arial" w:cs="Arial"/>
          <w:sz w:val="24"/>
          <w:szCs w:val="24"/>
        </w:rPr>
        <w:t>STEERING COMMITTEE</w:t>
      </w:r>
      <w:r w:rsidR="00A567AE" w:rsidRPr="009044EF">
        <w:rPr>
          <w:rFonts w:ascii="Arial" w:hAnsi="Arial" w:cs="Arial"/>
          <w:sz w:val="24"/>
          <w:szCs w:val="24"/>
        </w:rPr>
        <w:t xml:space="preserve"> MEETING</w:t>
      </w:r>
    </w:p>
    <w:p w:rsidR="007F4995" w:rsidRPr="00D03C6E" w:rsidRDefault="00A05EB7" w:rsidP="007F4995">
      <w:pPr>
        <w:overflowPunct w:val="0"/>
        <w:autoSpaceDE w:val="0"/>
        <w:autoSpaceDN w:val="0"/>
        <w:adjustRightInd w:val="0"/>
        <w:jc w:val="center"/>
        <w:rPr>
          <w:rFonts w:ascii="Arial" w:hAnsi="Arial" w:cs="Arial"/>
          <w:b/>
          <w:bCs/>
          <w:sz w:val="22"/>
          <w:szCs w:val="22"/>
        </w:rPr>
      </w:pPr>
      <w:r>
        <w:rPr>
          <w:rFonts w:ascii="Arial" w:hAnsi="Arial" w:cs="Arial"/>
          <w:b/>
          <w:bCs/>
          <w:sz w:val="22"/>
          <w:szCs w:val="22"/>
        </w:rPr>
        <w:t xml:space="preserve">Friday, </w:t>
      </w:r>
      <w:r w:rsidR="001F3197">
        <w:rPr>
          <w:rFonts w:ascii="Arial" w:hAnsi="Arial" w:cs="Arial"/>
          <w:b/>
          <w:bCs/>
          <w:sz w:val="22"/>
          <w:szCs w:val="22"/>
        </w:rPr>
        <w:t>January 12, 2018</w:t>
      </w:r>
    </w:p>
    <w:p w:rsidR="00A567AE" w:rsidRPr="00D03C6E" w:rsidRDefault="007F4995" w:rsidP="007F4995">
      <w:pPr>
        <w:overflowPunct w:val="0"/>
        <w:autoSpaceDE w:val="0"/>
        <w:autoSpaceDN w:val="0"/>
        <w:adjustRightInd w:val="0"/>
        <w:jc w:val="center"/>
        <w:rPr>
          <w:rFonts w:ascii="Arial" w:hAnsi="Arial" w:cs="Arial"/>
          <w:b/>
          <w:bCs/>
          <w:sz w:val="22"/>
          <w:szCs w:val="22"/>
        </w:rPr>
      </w:pPr>
      <w:r w:rsidRPr="00D03C6E">
        <w:rPr>
          <w:rFonts w:ascii="Arial" w:hAnsi="Arial" w:cs="Arial"/>
          <w:b/>
          <w:bCs/>
          <w:sz w:val="22"/>
          <w:szCs w:val="22"/>
        </w:rPr>
        <w:t xml:space="preserve"> </w:t>
      </w:r>
      <w:r w:rsidR="00026E8F" w:rsidRPr="00D03C6E">
        <w:rPr>
          <w:rFonts w:ascii="Arial" w:hAnsi="Arial" w:cs="Arial"/>
          <w:b/>
          <w:bCs/>
          <w:sz w:val="22"/>
          <w:szCs w:val="22"/>
        </w:rPr>
        <w:t xml:space="preserve">8:30 </w:t>
      </w:r>
      <w:r w:rsidR="00A567AE" w:rsidRPr="00D03C6E">
        <w:rPr>
          <w:rFonts w:ascii="Arial" w:hAnsi="Arial" w:cs="Arial"/>
          <w:b/>
          <w:bCs/>
          <w:sz w:val="22"/>
          <w:szCs w:val="22"/>
        </w:rPr>
        <w:t>- 10:00 AM</w:t>
      </w:r>
    </w:p>
    <w:p w:rsidR="00026E8F" w:rsidRPr="00D03C6E" w:rsidRDefault="00A567AE" w:rsidP="007F4995">
      <w:pPr>
        <w:overflowPunct w:val="0"/>
        <w:autoSpaceDE w:val="0"/>
        <w:autoSpaceDN w:val="0"/>
        <w:adjustRightInd w:val="0"/>
        <w:jc w:val="center"/>
        <w:rPr>
          <w:rFonts w:ascii="Arial" w:hAnsi="Arial" w:cs="Arial"/>
          <w:b/>
          <w:bCs/>
          <w:sz w:val="22"/>
          <w:szCs w:val="22"/>
        </w:rPr>
      </w:pPr>
      <w:r w:rsidRPr="00D03C6E">
        <w:rPr>
          <w:rFonts w:ascii="Arial" w:hAnsi="Arial" w:cs="Arial"/>
          <w:b/>
          <w:bCs/>
          <w:sz w:val="22"/>
          <w:szCs w:val="22"/>
        </w:rPr>
        <w:t>Polk County River Place</w:t>
      </w:r>
    </w:p>
    <w:p w:rsidR="00026E8F" w:rsidRPr="00D03C6E" w:rsidRDefault="00026E8F" w:rsidP="007F4995">
      <w:pPr>
        <w:overflowPunct w:val="0"/>
        <w:autoSpaceDE w:val="0"/>
        <w:autoSpaceDN w:val="0"/>
        <w:adjustRightInd w:val="0"/>
        <w:jc w:val="center"/>
        <w:rPr>
          <w:rFonts w:ascii="Arial" w:hAnsi="Arial" w:cs="Arial"/>
          <w:b/>
          <w:bCs/>
          <w:sz w:val="22"/>
          <w:szCs w:val="22"/>
        </w:rPr>
      </w:pPr>
      <w:r w:rsidRPr="00D03C6E">
        <w:rPr>
          <w:rFonts w:ascii="Arial" w:hAnsi="Arial" w:cs="Arial"/>
          <w:b/>
          <w:bCs/>
          <w:sz w:val="22"/>
          <w:szCs w:val="22"/>
        </w:rPr>
        <w:t>2309 Euclid Avenue, Des Moines, IA 50310</w:t>
      </w:r>
    </w:p>
    <w:p w:rsidR="00A567AE" w:rsidRPr="00D03C6E" w:rsidRDefault="00A567AE" w:rsidP="007F4995">
      <w:pPr>
        <w:overflowPunct w:val="0"/>
        <w:autoSpaceDE w:val="0"/>
        <w:autoSpaceDN w:val="0"/>
        <w:adjustRightInd w:val="0"/>
        <w:jc w:val="center"/>
        <w:rPr>
          <w:rFonts w:ascii="Arial" w:hAnsi="Arial" w:cs="Arial"/>
          <w:b/>
          <w:bCs/>
          <w:sz w:val="22"/>
          <w:szCs w:val="22"/>
        </w:rPr>
      </w:pPr>
      <w:r w:rsidRPr="00D03C6E">
        <w:rPr>
          <w:rFonts w:ascii="Arial" w:hAnsi="Arial" w:cs="Arial"/>
          <w:b/>
          <w:bCs/>
          <w:sz w:val="22"/>
          <w:szCs w:val="22"/>
        </w:rPr>
        <w:t xml:space="preserve"> Conference Room </w:t>
      </w:r>
      <w:r w:rsidR="00D7184A" w:rsidRPr="00D03C6E">
        <w:rPr>
          <w:rFonts w:ascii="Arial" w:hAnsi="Arial" w:cs="Arial"/>
          <w:b/>
          <w:bCs/>
          <w:sz w:val="22"/>
          <w:szCs w:val="22"/>
        </w:rPr>
        <w:t>2</w:t>
      </w:r>
    </w:p>
    <w:p w:rsidR="007F4995" w:rsidRDefault="007F4995" w:rsidP="007F4995">
      <w:pPr>
        <w:overflowPunct w:val="0"/>
        <w:autoSpaceDE w:val="0"/>
        <w:autoSpaceDN w:val="0"/>
        <w:adjustRightInd w:val="0"/>
        <w:jc w:val="center"/>
        <w:rPr>
          <w:rFonts w:ascii="Arial" w:hAnsi="Arial" w:cs="Arial"/>
          <w:b/>
          <w:bCs/>
          <w:sz w:val="28"/>
          <w:szCs w:val="20"/>
        </w:rPr>
      </w:pPr>
    </w:p>
    <w:p w:rsidR="007F4995" w:rsidRPr="009044EF" w:rsidRDefault="00BF0E11"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rPr>
      </w:pPr>
      <w:r>
        <w:rPr>
          <w:rFonts w:ascii="Arial Black" w:hAnsi="Arial Black"/>
          <w:b/>
          <w:bCs/>
        </w:rPr>
        <w:t>MEETING MINUTES</w:t>
      </w:r>
    </w:p>
    <w:p w:rsidR="00EE236D" w:rsidRDefault="00EE236D" w:rsidP="00A567AE">
      <w:pPr>
        <w:overflowPunct w:val="0"/>
        <w:autoSpaceDE w:val="0"/>
        <w:autoSpaceDN w:val="0"/>
        <w:adjustRightInd w:val="0"/>
        <w:rPr>
          <w:rFonts w:ascii="Arial Black" w:hAnsi="Arial Black"/>
          <w:b/>
          <w:bCs/>
          <w:sz w:val="28"/>
          <w:szCs w:val="20"/>
        </w:rPr>
      </w:pPr>
    </w:p>
    <w:p w:rsidR="001F3197" w:rsidRDefault="001F3197" w:rsidP="00A567AE">
      <w:pPr>
        <w:overflowPunct w:val="0"/>
        <w:autoSpaceDE w:val="0"/>
        <w:autoSpaceDN w:val="0"/>
        <w:adjustRightInd w:val="0"/>
        <w:rPr>
          <w:rFonts w:ascii="Arial Black" w:hAnsi="Arial Black"/>
          <w:b/>
          <w:bCs/>
          <w:sz w:val="28"/>
          <w:szCs w:val="20"/>
        </w:rPr>
      </w:pPr>
    </w:p>
    <w:tbl>
      <w:tblPr>
        <w:tblW w:w="12762" w:type="dxa"/>
        <w:tblLook w:val="04A0" w:firstRow="1" w:lastRow="0" w:firstColumn="1" w:lastColumn="0" w:noHBand="0" w:noVBand="1"/>
      </w:tblPr>
      <w:tblGrid>
        <w:gridCol w:w="10188"/>
        <w:gridCol w:w="2574"/>
      </w:tblGrid>
      <w:tr w:rsidR="00BF0E11" w:rsidRPr="00D03C6E" w:rsidTr="003F1EDF">
        <w:trPr>
          <w:gridAfter w:val="1"/>
          <w:wAfter w:w="2574" w:type="dxa"/>
        </w:trPr>
        <w:tc>
          <w:tcPr>
            <w:tcW w:w="10188" w:type="dxa"/>
          </w:tcPr>
          <w:p w:rsidR="00BF0E11" w:rsidRDefault="00BF0E11" w:rsidP="00BF0E11">
            <w:pPr>
              <w:overflowPunct w:val="0"/>
              <w:autoSpaceDE w:val="0"/>
              <w:autoSpaceDN w:val="0"/>
              <w:adjustRightInd w:val="0"/>
              <w:rPr>
                <w:rFonts w:ascii="Arial" w:hAnsi="Arial" w:cs="Arial"/>
                <w:b/>
                <w:bCs/>
                <w:sz w:val="22"/>
                <w:szCs w:val="22"/>
              </w:rPr>
            </w:pPr>
            <w:r>
              <w:rPr>
                <w:rFonts w:ascii="Arial" w:hAnsi="Arial" w:cs="Arial"/>
                <w:b/>
                <w:bCs/>
                <w:sz w:val="22"/>
                <w:szCs w:val="22"/>
              </w:rPr>
              <w:t>Call to Order</w:t>
            </w:r>
          </w:p>
          <w:p w:rsidR="00BF0E11" w:rsidRDefault="00BF0E11" w:rsidP="00BF0E11">
            <w:pPr>
              <w:overflowPunct w:val="0"/>
              <w:autoSpaceDE w:val="0"/>
              <w:autoSpaceDN w:val="0"/>
              <w:adjustRightInd w:val="0"/>
              <w:rPr>
                <w:rFonts w:ascii="Arial" w:hAnsi="Arial" w:cs="Arial"/>
                <w:b/>
                <w:bCs/>
                <w:sz w:val="22"/>
                <w:szCs w:val="22"/>
              </w:rPr>
            </w:pPr>
          </w:p>
          <w:p w:rsidR="00BF0E11" w:rsidRDefault="00BF0E11" w:rsidP="00BF0E11">
            <w:pPr>
              <w:overflowPunct w:val="0"/>
              <w:autoSpaceDE w:val="0"/>
              <w:autoSpaceDN w:val="0"/>
              <w:adjustRightInd w:val="0"/>
              <w:rPr>
                <w:rFonts w:ascii="Arial" w:hAnsi="Arial" w:cs="Arial"/>
                <w:bCs/>
                <w:sz w:val="22"/>
                <w:szCs w:val="22"/>
              </w:rPr>
            </w:pPr>
            <w:r>
              <w:rPr>
                <w:rFonts w:ascii="Arial" w:hAnsi="Arial" w:cs="Arial"/>
                <w:bCs/>
                <w:sz w:val="22"/>
                <w:szCs w:val="22"/>
              </w:rPr>
              <w:t xml:space="preserve">Teresa Burke, sitting in for </w:t>
            </w:r>
            <w:proofErr w:type="spellStart"/>
            <w:r>
              <w:rPr>
                <w:rFonts w:ascii="Arial" w:hAnsi="Arial" w:cs="Arial"/>
                <w:bCs/>
                <w:sz w:val="22"/>
                <w:szCs w:val="22"/>
              </w:rPr>
              <w:t>Nikolle</w:t>
            </w:r>
            <w:proofErr w:type="spellEnd"/>
            <w:r>
              <w:rPr>
                <w:rFonts w:ascii="Arial" w:hAnsi="Arial" w:cs="Arial"/>
                <w:bCs/>
                <w:sz w:val="22"/>
                <w:szCs w:val="22"/>
              </w:rPr>
              <w:t xml:space="preserve"> Ross, called the meeting to order at 8:36</w:t>
            </w:r>
            <w:r w:rsidR="00A1749F">
              <w:rPr>
                <w:rFonts w:ascii="Arial" w:hAnsi="Arial" w:cs="Arial"/>
                <w:bCs/>
                <w:sz w:val="22"/>
                <w:szCs w:val="22"/>
              </w:rPr>
              <w:t xml:space="preserve"> </w:t>
            </w:r>
            <w:r>
              <w:rPr>
                <w:rFonts w:ascii="Arial" w:hAnsi="Arial" w:cs="Arial"/>
                <w:bCs/>
                <w:sz w:val="22"/>
                <w:szCs w:val="22"/>
              </w:rPr>
              <w:t>a</w:t>
            </w:r>
            <w:r w:rsidR="00A1749F">
              <w:rPr>
                <w:rFonts w:ascii="Arial" w:hAnsi="Arial" w:cs="Arial"/>
                <w:bCs/>
                <w:sz w:val="22"/>
                <w:szCs w:val="22"/>
              </w:rPr>
              <w:t>m</w:t>
            </w:r>
            <w:r>
              <w:rPr>
                <w:rFonts w:ascii="Arial" w:hAnsi="Arial" w:cs="Arial"/>
                <w:bCs/>
                <w:sz w:val="22"/>
                <w:szCs w:val="22"/>
              </w:rPr>
              <w:t xml:space="preserve">. Present </w:t>
            </w:r>
            <w:proofErr w:type="gramStart"/>
            <w:r>
              <w:rPr>
                <w:rFonts w:ascii="Arial" w:hAnsi="Arial" w:cs="Arial"/>
                <w:bCs/>
                <w:sz w:val="22"/>
                <w:szCs w:val="22"/>
              </w:rPr>
              <w:t>were</w:t>
            </w:r>
            <w:proofErr w:type="gramEnd"/>
            <w:r>
              <w:rPr>
                <w:rFonts w:ascii="Arial" w:hAnsi="Arial" w:cs="Arial"/>
                <w:bCs/>
                <w:sz w:val="22"/>
                <w:szCs w:val="22"/>
              </w:rPr>
              <w:t xml:space="preserve"> Teresa Burke, Jordan Kauffman, Ellen Overton, Joyce Bruce, Kim Ayotte, Angela Wacker, Betty Devine, and Alison Mahoney Doran.</w:t>
            </w:r>
          </w:p>
          <w:p w:rsidR="00BF0E11" w:rsidRPr="00BF0E11" w:rsidRDefault="00BF0E11" w:rsidP="00BF0E11">
            <w:pPr>
              <w:overflowPunct w:val="0"/>
              <w:autoSpaceDE w:val="0"/>
              <w:autoSpaceDN w:val="0"/>
              <w:adjustRightInd w:val="0"/>
              <w:rPr>
                <w:rFonts w:ascii="Arial" w:hAnsi="Arial" w:cs="Arial"/>
                <w:bCs/>
                <w:sz w:val="22"/>
                <w:szCs w:val="22"/>
              </w:rPr>
            </w:pPr>
          </w:p>
        </w:tc>
      </w:tr>
      <w:tr w:rsidR="00BF0E11" w:rsidRPr="00D03C6E" w:rsidTr="003F1EDF">
        <w:trPr>
          <w:trHeight w:val="594"/>
        </w:trPr>
        <w:tc>
          <w:tcPr>
            <w:tcW w:w="10188" w:type="dxa"/>
          </w:tcPr>
          <w:p w:rsidR="00BF0E11" w:rsidRPr="00BF0E11" w:rsidRDefault="00BF0E11" w:rsidP="00BF0E11">
            <w:pPr>
              <w:overflowPunct w:val="0"/>
              <w:autoSpaceDE w:val="0"/>
              <w:autoSpaceDN w:val="0"/>
              <w:adjustRightInd w:val="0"/>
              <w:rPr>
                <w:rFonts w:ascii="Arial" w:hAnsi="Arial" w:cs="Arial"/>
                <w:b/>
                <w:bCs/>
                <w:sz w:val="22"/>
                <w:szCs w:val="22"/>
              </w:rPr>
            </w:pPr>
            <w:r w:rsidRPr="00BF0E11">
              <w:rPr>
                <w:rFonts w:ascii="Arial" w:hAnsi="Arial" w:cs="Arial"/>
                <w:b/>
                <w:bCs/>
                <w:sz w:val="22"/>
                <w:szCs w:val="22"/>
              </w:rPr>
              <w:t>Review &amp; approve minutes from October 13, 2017 meeting</w:t>
            </w:r>
          </w:p>
          <w:p w:rsidR="00BF0E11" w:rsidRDefault="00BF0E11" w:rsidP="00A05EB7">
            <w:pPr>
              <w:overflowPunct w:val="0"/>
              <w:autoSpaceDE w:val="0"/>
              <w:autoSpaceDN w:val="0"/>
              <w:adjustRightInd w:val="0"/>
              <w:rPr>
                <w:rFonts w:ascii="Arial" w:hAnsi="Arial" w:cs="Arial"/>
                <w:b/>
                <w:bCs/>
                <w:sz w:val="22"/>
                <w:szCs w:val="22"/>
              </w:rPr>
            </w:pPr>
          </w:p>
          <w:p w:rsidR="00BF0E11" w:rsidRPr="00BF0E11" w:rsidRDefault="00BF0E11" w:rsidP="00A1749F">
            <w:pPr>
              <w:overflowPunct w:val="0"/>
              <w:autoSpaceDE w:val="0"/>
              <w:autoSpaceDN w:val="0"/>
              <w:adjustRightInd w:val="0"/>
              <w:rPr>
                <w:rFonts w:ascii="Arial" w:hAnsi="Arial" w:cs="Arial"/>
                <w:b/>
                <w:bCs/>
                <w:sz w:val="22"/>
                <w:szCs w:val="22"/>
              </w:rPr>
            </w:pPr>
            <w:r>
              <w:rPr>
                <w:rFonts w:ascii="Arial" w:hAnsi="Arial" w:cs="Arial"/>
                <w:bCs/>
                <w:sz w:val="22"/>
                <w:szCs w:val="22"/>
              </w:rPr>
              <w:t>Joyce Bruce moved to accept</w:t>
            </w:r>
            <w:r w:rsidR="00A1749F">
              <w:rPr>
                <w:rFonts w:ascii="Arial" w:hAnsi="Arial" w:cs="Arial"/>
                <w:bCs/>
                <w:sz w:val="22"/>
                <w:szCs w:val="22"/>
              </w:rPr>
              <w:t xml:space="preserve"> the minutes</w:t>
            </w:r>
            <w:r>
              <w:rPr>
                <w:rFonts w:ascii="Arial" w:hAnsi="Arial" w:cs="Arial"/>
                <w:bCs/>
                <w:sz w:val="22"/>
                <w:szCs w:val="22"/>
              </w:rPr>
              <w:t xml:space="preserve">. Angela Wacker seconded the motion. All approved the motion, none opposed. </w:t>
            </w:r>
            <w:r w:rsidR="00A1749F">
              <w:rPr>
                <w:rFonts w:ascii="Arial" w:hAnsi="Arial" w:cs="Arial"/>
                <w:bCs/>
                <w:sz w:val="22"/>
                <w:szCs w:val="22"/>
              </w:rPr>
              <w:t>The m</w:t>
            </w:r>
            <w:r>
              <w:rPr>
                <w:rFonts w:ascii="Arial" w:hAnsi="Arial" w:cs="Arial"/>
                <w:bCs/>
                <w:sz w:val="22"/>
                <w:szCs w:val="22"/>
              </w:rPr>
              <w:t xml:space="preserve">otion </w:t>
            </w:r>
            <w:r w:rsidR="00A1749F">
              <w:rPr>
                <w:rFonts w:ascii="Arial" w:hAnsi="Arial" w:cs="Arial"/>
                <w:bCs/>
                <w:sz w:val="22"/>
                <w:szCs w:val="22"/>
              </w:rPr>
              <w:t xml:space="preserve">was </w:t>
            </w:r>
            <w:r>
              <w:rPr>
                <w:rFonts w:ascii="Arial" w:hAnsi="Arial" w:cs="Arial"/>
                <w:bCs/>
                <w:sz w:val="22"/>
                <w:szCs w:val="22"/>
              </w:rPr>
              <w:t>carried.</w:t>
            </w:r>
            <w:r w:rsidRPr="00BF0E11">
              <w:rPr>
                <w:rFonts w:ascii="Arial" w:hAnsi="Arial" w:cs="Arial"/>
                <w:b/>
                <w:bCs/>
                <w:sz w:val="22"/>
                <w:szCs w:val="22"/>
              </w:rPr>
              <w:t xml:space="preserve"> </w:t>
            </w:r>
          </w:p>
        </w:tc>
        <w:tc>
          <w:tcPr>
            <w:tcW w:w="2574" w:type="dxa"/>
          </w:tcPr>
          <w:p w:rsidR="00BF0E11" w:rsidRDefault="00BF0E11" w:rsidP="0002670D">
            <w:pPr>
              <w:overflowPunct w:val="0"/>
              <w:autoSpaceDE w:val="0"/>
              <w:autoSpaceDN w:val="0"/>
              <w:adjustRightInd w:val="0"/>
              <w:rPr>
                <w:rFonts w:ascii="Arial" w:hAnsi="Arial" w:cs="Arial"/>
                <w:bCs/>
                <w:sz w:val="22"/>
                <w:szCs w:val="22"/>
              </w:rPr>
            </w:pPr>
          </w:p>
          <w:p w:rsidR="00BF0E11" w:rsidRDefault="00BF0E11" w:rsidP="0002670D">
            <w:pPr>
              <w:overflowPunct w:val="0"/>
              <w:autoSpaceDE w:val="0"/>
              <w:autoSpaceDN w:val="0"/>
              <w:adjustRightInd w:val="0"/>
              <w:rPr>
                <w:rFonts w:ascii="Arial" w:hAnsi="Arial" w:cs="Arial"/>
                <w:bCs/>
                <w:sz w:val="22"/>
                <w:szCs w:val="22"/>
              </w:rPr>
            </w:pPr>
          </w:p>
          <w:p w:rsidR="00BF0E11" w:rsidRPr="00D03C6E" w:rsidRDefault="00BF0E11" w:rsidP="0002670D">
            <w:pPr>
              <w:overflowPunct w:val="0"/>
              <w:autoSpaceDE w:val="0"/>
              <w:autoSpaceDN w:val="0"/>
              <w:adjustRightInd w:val="0"/>
              <w:rPr>
                <w:rFonts w:ascii="Arial" w:hAnsi="Arial" w:cs="Arial"/>
                <w:bCs/>
                <w:sz w:val="22"/>
                <w:szCs w:val="22"/>
              </w:rPr>
            </w:pPr>
          </w:p>
        </w:tc>
      </w:tr>
      <w:tr w:rsidR="00BF0E11" w:rsidRPr="00D03C6E" w:rsidTr="003F1EDF">
        <w:trPr>
          <w:trHeight w:val="3609"/>
        </w:trPr>
        <w:tc>
          <w:tcPr>
            <w:tcW w:w="10188" w:type="dxa"/>
          </w:tcPr>
          <w:p w:rsidR="00BF0E11" w:rsidRPr="00BF0E11" w:rsidRDefault="00BF0E11" w:rsidP="00BF0E11">
            <w:pPr>
              <w:overflowPunct w:val="0"/>
              <w:autoSpaceDE w:val="0"/>
              <w:autoSpaceDN w:val="0"/>
              <w:adjustRightInd w:val="0"/>
              <w:rPr>
                <w:rFonts w:ascii="Arial" w:hAnsi="Arial" w:cs="Arial"/>
                <w:bCs/>
                <w:sz w:val="22"/>
                <w:szCs w:val="22"/>
              </w:rPr>
            </w:pPr>
          </w:p>
          <w:p w:rsidR="00BF0E11" w:rsidRDefault="00BF0E11" w:rsidP="00BF0E11">
            <w:pPr>
              <w:overflowPunct w:val="0"/>
              <w:autoSpaceDE w:val="0"/>
              <w:autoSpaceDN w:val="0"/>
              <w:adjustRightInd w:val="0"/>
              <w:rPr>
                <w:rFonts w:ascii="Arial" w:hAnsi="Arial" w:cs="Arial"/>
                <w:b/>
                <w:bCs/>
                <w:sz w:val="22"/>
                <w:szCs w:val="22"/>
              </w:rPr>
            </w:pPr>
            <w:r w:rsidRPr="00BF0E11">
              <w:rPr>
                <w:rFonts w:ascii="Arial" w:hAnsi="Arial" w:cs="Arial"/>
                <w:b/>
                <w:bCs/>
                <w:sz w:val="22"/>
                <w:szCs w:val="22"/>
              </w:rPr>
              <w:t xml:space="preserve">Update on </w:t>
            </w:r>
            <w:proofErr w:type="spellStart"/>
            <w:r w:rsidRPr="00BF0E11">
              <w:rPr>
                <w:rFonts w:ascii="Arial" w:hAnsi="Arial" w:cs="Arial"/>
                <w:b/>
                <w:bCs/>
                <w:sz w:val="22"/>
                <w:szCs w:val="22"/>
              </w:rPr>
              <w:t>Decat</w:t>
            </w:r>
            <w:proofErr w:type="spellEnd"/>
            <w:r w:rsidRPr="00BF0E11">
              <w:rPr>
                <w:rFonts w:ascii="Arial" w:hAnsi="Arial" w:cs="Arial"/>
                <w:b/>
                <w:bCs/>
                <w:sz w:val="22"/>
                <w:szCs w:val="22"/>
              </w:rPr>
              <w:t xml:space="preserve"> Staff and Needs Assessment</w:t>
            </w:r>
          </w:p>
          <w:p w:rsidR="003F1EDF" w:rsidRDefault="003F1EDF" w:rsidP="00BF0E11">
            <w:pPr>
              <w:overflowPunct w:val="0"/>
              <w:autoSpaceDE w:val="0"/>
              <w:autoSpaceDN w:val="0"/>
              <w:adjustRightInd w:val="0"/>
              <w:rPr>
                <w:rFonts w:ascii="Arial" w:hAnsi="Arial" w:cs="Arial"/>
                <w:bCs/>
                <w:sz w:val="22"/>
                <w:szCs w:val="22"/>
              </w:rPr>
            </w:pPr>
          </w:p>
          <w:p w:rsidR="00BF0E11" w:rsidRDefault="00BF0E11" w:rsidP="00BF0E11">
            <w:pPr>
              <w:overflowPunct w:val="0"/>
              <w:autoSpaceDE w:val="0"/>
              <w:autoSpaceDN w:val="0"/>
              <w:adjustRightInd w:val="0"/>
              <w:rPr>
                <w:rFonts w:ascii="Arial" w:hAnsi="Arial" w:cs="Arial"/>
                <w:bCs/>
                <w:sz w:val="22"/>
                <w:szCs w:val="22"/>
              </w:rPr>
            </w:pPr>
            <w:r>
              <w:rPr>
                <w:rFonts w:ascii="Arial" w:hAnsi="Arial" w:cs="Arial"/>
                <w:bCs/>
                <w:sz w:val="22"/>
                <w:szCs w:val="22"/>
              </w:rPr>
              <w:t>Robert Smith visited from Washington DC to do an in-person interview for the Restorative Justice &amp; Cultural Equity Coordinator position. Robert met many people from the community and was very well received. At this time, however, he has declined to accept the position due to financial circumstances. We wish him well in his future endeavors.</w:t>
            </w:r>
          </w:p>
          <w:p w:rsidR="00BF0E11" w:rsidRDefault="00BF0E11" w:rsidP="00BF0E11">
            <w:pPr>
              <w:overflowPunct w:val="0"/>
              <w:autoSpaceDE w:val="0"/>
              <w:autoSpaceDN w:val="0"/>
              <w:adjustRightInd w:val="0"/>
              <w:rPr>
                <w:rFonts w:ascii="Arial" w:hAnsi="Arial" w:cs="Arial"/>
                <w:bCs/>
                <w:sz w:val="22"/>
                <w:szCs w:val="22"/>
              </w:rPr>
            </w:pPr>
          </w:p>
          <w:p w:rsidR="00BF0E11" w:rsidRPr="00BF0E11" w:rsidRDefault="00BF0E11" w:rsidP="003F1EDF">
            <w:pPr>
              <w:overflowPunct w:val="0"/>
              <w:autoSpaceDE w:val="0"/>
              <w:autoSpaceDN w:val="0"/>
              <w:adjustRightInd w:val="0"/>
              <w:ind w:right="-198"/>
              <w:rPr>
                <w:rFonts w:ascii="Arial" w:hAnsi="Arial" w:cs="Arial"/>
                <w:bCs/>
                <w:sz w:val="22"/>
                <w:szCs w:val="22"/>
              </w:rPr>
            </w:pPr>
            <w:r>
              <w:rPr>
                <w:rFonts w:ascii="Arial" w:hAnsi="Arial" w:cs="Arial"/>
                <w:bCs/>
                <w:sz w:val="22"/>
                <w:szCs w:val="22"/>
              </w:rPr>
              <w:t xml:space="preserve">Jordan Kauffman talked about plans to embark upon a Community Needs Assessment. She will utilize Google Forms to reach stakeholders throughout Polk County. The purpose of the Needs Assessment is to identify community strengths as well as disconnects to help Polk County </w:t>
            </w:r>
            <w:proofErr w:type="spellStart"/>
            <w:r>
              <w:rPr>
                <w:rFonts w:ascii="Arial" w:hAnsi="Arial" w:cs="Arial"/>
                <w:bCs/>
                <w:sz w:val="22"/>
                <w:szCs w:val="22"/>
              </w:rPr>
              <w:t>Decat</w:t>
            </w:r>
            <w:proofErr w:type="spellEnd"/>
            <w:r>
              <w:rPr>
                <w:rFonts w:ascii="Arial" w:hAnsi="Arial" w:cs="Arial"/>
                <w:bCs/>
                <w:sz w:val="22"/>
                <w:szCs w:val="22"/>
              </w:rPr>
              <w:t xml:space="preserve">, CPPC, and partner agencies improve connecting services to those people in need of them. In addition, the data gathered will help Polk </w:t>
            </w:r>
            <w:proofErr w:type="spellStart"/>
            <w:r>
              <w:rPr>
                <w:rFonts w:ascii="Arial" w:hAnsi="Arial" w:cs="Arial"/>
                <w:bCs/>
                <w:sz w:val="22"/>
                <w:szCs w:val="22"/>
              </w:rPr>
              <w:t>Decat</w:t>
            </w:r>
            <w:proofErr w:type="spellEnd"/>
            <w:r>
              <w:rPr>
                <w:rFonts w:ascii="Arial" w:hAnsi="Arial" w:cs="Arial"/>
                <w:bCs/>
                <w:sz w:val="22"/>
                <w:szCs w:val="22"/>
              </w:rPr>
              <w:t>/CPPC better take on the role of a community information hub. Alison Mahoney at Proteus offered translation services for this project, and we are grateful.</w:t>
            </w:r>
          </w:p>
          <w:p w:rsidR="00BF0E11" w:rsidRPr="00BF0E11" w:rsidRDefault="00BF0E11" w:rsidP="00BF0E11">
            <w:pPr>
              <w:overflowPunct w:val="0"/>
              <w:autoSpaceDE w:val="0"/>
              <w:autoSpaceDN w:val="0"/>
              <w:adjustRightInd w:val="0"/>
              <w:rPr>
                <w:rFonts w:ascii="Arial" w:hAnsi="Arial" w:cs="Arial"/>
                <w:b/>
                <w:bCs/>
                <w:sz w:val="22"/>
                <w:szCs w:val="22"/>
              </w:rPr>
            </w:pPr>
          </w:p>
        </w:tc>
        <w:tc>
          <w:tcPr>
            <w:tcW w:w="2574" w:type="dxa"/>
          </w:tcPr>
          <w:p w:rsidR="00BF0E11" w:rsidRDefault="00BF0E11" w:rsidP="0002670D">
            <w:pPr>
              <w:overflowPunct w:val="0"/>
              <w:autoSpaceDE w:val="0"/>
              <w:autoSpaceDN w:val="0"/>
              <w:adjustRightInd w:val="0"/>
              <w:rPr>
                <w:rFonts w:ascii="Arial" w:hAnsi="Arial" w:cs="Arial"/>
                <w:bCs/>
                <w:sz w:val="22"/>
                <w:szCs w:val="22"/>
              </w:rPr>
            </w:pPr>
          </w:p>
          <w:p w:rsidR="00BF0E11" w:rsidRDefault="00BF0E11" w:rsidP="0002670D">
            <w:pPr>
              <w:overflowPunct w:val="0"/>
              <w:autoSpaceDE w:val="0"/>
              <w:autoSpaceDN w:val="0"/>
              <w:adjustRightInd w:val="0"/>
              <w:rPr>
                <w:rFonts w:ascii="Arial" w:hAnsi="Arial" w:cs="Arial"/>
                <w:bCs/>
                <w:sz w:val="22"/>
                <w:szCs w:val="22"/>
              </w:rPr>
            </w:pPr>
          </w:p>
          <w:p w:rsidR="00BF0E11" w:rsidRDefault="00BF0E11" w:rsidP="0002670D">
            <w:pPr>
              <w:overflowPunct w:val="0"/>
              <w:autoSpaceDE w:val="0"/>
              <w:autoSpaceDN w:val="0"/>
              <w:adjustRightInd w:val="0"/>
              <w:rPr>
                <w:rFonts w:ascii="Arial" w:hAnsi="Arial" w:cs="Arial"/>
                <w:bCs/>
                <w:sz w:val="22"/>
                <w:szCs w:val="22"/>
              </w:rPr>
            </w:pPr>
          </w:p>
        </w:tc>
      </w:tr>
      <w:tr w:rsidR="00BF0E11" w:rsidRPr="00D03C6E" w:rsidTr="003F1EDF">
        <w:tc>
          <w:tcPr>
            <w:tcW w:w="10188" w:type="dxa"/>
          </w:tcPr>
          <w:p w:rsidR="00BF0E11" w:rsidRDefault="00BF0E11" w:rsidP="00BF0E11">
            <w:pPr>
              <w:overflowPunct w:val="0"/>
              <w:autoSpaceDE w:val="0"/>
              <w:autoSpaceDN w:val="0"/>
              <w:adjustRightInd w:val="0"/>
              <w:rPr>
                <w:rFonts w:ascii="Arial" w:hAnsi="Arial" w:cs="Arial"/>
                <w:b/>
                <w:bCs/>
                <w:sz w:val="22"/>
                <w:szCs w:val="22"/>
              </w:rPr>
            </w:pPr>
            <w:r w:rsidRPr="003F1EDF">
              <w:rPr>
                <w:rFonts w:ascii="Arial" w:hAnsi="Arial" w:cs="Arial"/>
                <w:b/>
                <w:bCs/>
                <w:sz w:val="22"/>
                <w:szCs w:val="22"/>
              </w:rPr>
              <w:t>Contract Performance Review and Desk Review</w:t>
            </w:r>
          </w:p>
          <w:p w:rsidR="003F1EDF" w:rsidRDefault="003F1EDF" w:rsidP="00BF0E11">
            <w:pPr>
              <w:overflowPunct w:val="0"/>
              <w:autoSpaceDE w:val="0"/>
              <w:autoSpaceDN w:val="0"/>
              <w:adjustRightInd w:val="0"/>
              <w:rPr>
                <w:rFonts w:ascii="Arial" w:hAnsi="Arial" w:cs="Arial"/>
                <w:bCs/>
                <w:sz w:val="22"/>
                <w:szCs w:val="22"/>
              </w:rPr>
            </w:pPr>
          </w:p>
          <w:p w:rsidR="003F1EDF" w:rsidRDefault="003F1EDF" w:rsidP="00BF0E11">
            <w:pPr>
              <w:overflowPunct w:val="0"/>
              <w:autoSpaceDE w:val="0"/>
              <w:autoSpaceDN w:val="0"/>
              <w:adjustRightInd w:val="0"/>
              <w:rPr>
                <w:rFonts w:ascii="Arial" w:hAnsi="Arial" w:cs="Arial"/>
                <w:bCs/>
                <w:sz w:val="22"/>
                <w:szCs w:val="22"/>
              </w:rPr>
            </w:pPr>
            <w:r>
              <w:rPr>
                <w:rFonts w:ascii="Arial" w:hAnsi="Arial" w:cs="Arial"/>
                <w:bCs/>
                <w:sz w:val="22"/>
                <w:szCs w:val="22"/>
              </w:rPr>
              <w:t>Jordan Kauffman shared highlights of the FY18 1</w:t>
            </w:r>
            <w:r w:rsidRPr="003F1EDF">
              <w:rPr>
                <w:rFonts w:ascii="Arial" w:hAnsi="Arial" w:cs="Arial"/>
                <w:bCs/>
                <w:sz w:val="22"/>
                <w:szCs w:val="22"/>
                <w:vertAlign w:val="superscript"/>
              </w:rPr>
              <w:t>st</w:t>
            </w:r>
            <w:r>
              <w:rPr>
                <w:rFonts w:ascii="Arial" w:hAnsi="Arial" w:cs="Arial"/>
                <w:bCs/>
                <w:sz w:val="22"/>
                <w:szCs w:val="22"/>
              </w:rPr>
              <w:t xml:space="preserve"> Quarter Contract reports. The Steering Committee can expect more detailed data in the future; specifically, hard numbers &amp; percentages to back up performance measure assessments of Met/Not Met. </w:t>
            </w:r>
            <w:proofErr w:type="spellStart"/>
            <w:r>
              <w:rPr>
                <w:rFonts w:ascii="Arial" w:hAnsi="Arial" w:cs="Arial"/>
                <w:bCs/>
                <w:sz w:val="22"/>
                <w:szCs w:val="22"/>
              </w:rPr>
              <w:t>Decat</w:t>
            </w:r>
            <w:proofErr w:type="spellEnd"/>
            <w:r>
              <w:rPr>
                <w:rFonts w:ascii="Arial" w:hAnsi="Arial" w:cs="Arial"/>
                <w:bCs/>
                <w:sz w:val="22"/>
                <w:szCs w:val="22"/>
              </w:rPr>
              <w:t xml:space="preserve"> would like to create a Quarterly Report training for contractors to provide guidance &amp; examples of the caliber of numeric &amp; narrative data we seek from our contractors. This will be dependent on </w:t>
            </w:r>
            <w:proofErr w:type="spellStart"/>
            <w:r>
              <w:rPr>
                <w:rFonts w:ascii="Arial" w:hAnsi="Arial" w:cs="Arial"/>
                <w:bCs/>
                <w:sz w:val="22"/>
                <w:szCs w:val="22"/>
              </w:rPr>
              <w:t>Decat</w:t>
            </w:r>
            <w:proofErr w:type="spellEnd"/>
            <w:r>
              <w:rPr>
                <w:rFonts w:ascii="Arial" w:hAnsi="Arial" w:cs="Arial"/>
                <w:bCs/>
                <w:sz w:val="22"/>
                <w:szCs w:val="22"/>
              </w:rPr>
              <w:t xml:space="preserve"> team capacity moving forward.</w:t>
            </w:r>
          </w:p>
          <w:p w:rsidR="003F1EDF" w:rsidRDefault="003F1EDF" w:rsidP="00BF0E11">
            <w:pPr>
              <w:overflowPunct w:val="0"/>
              <w:autoSpaceDE w:val="0"/>
              <w:autoSpaceDN w:val="0"/>
              <w:adjustRightInd w:val="0"/>
              <w:rPr>
                <w:rFonts w:ascii="Arial" w:hAnsi="Arial" w:cs="Arial"/>
                <w:bCs/>
                <w:sz w:val="22"/>
                <w:szCs w:val="22"/>
              </w:rPr>
            </w:pPr>
          </w:p>
          <w:p w:rsidR="003F1EDF" w:rsidRPr="003F1EDF" w:rsidRDefault="003F1EDF" w:rsidP="00BF0E11">
            <w:pPr>
              <w:overflowPunct w:val="0"/>
              <w:autoSpaceDE w:val="0"/>
              <w:autoSpaceDN w:val="0"/>
              <w:adjustRightInd w:val="0"/>
              <w:rPr>
                <w:rFonts w:ascii="Arial" w:hAnsi="Arial" w:cs="Arial"/>
                <w:bCs/>
                <w:sz w:val="22"/>
                <w:szCs w:val="22"/>
              </w:rPr>
            </w:pPr>
            <w:r>
              <w:rPr>
                <w:rFonts w:ascii="Arial" w:hAnsi="Arial" w:cs="Arial"/>
                <w:bCs/>
                <w:sz w:val="22"/>
                <w:szCs w:val="22"/>
              </w:rPr>
              <w:t xml:space="preserve">The desk review was performed on DCAT5-15-002, the PRC Nurse Contract. These more structured reviews are an opportunity to spotlight our different contracts and to provide a more in-depth look at </w:t>
            </w:r>
            <w:r>
              <w:rPr>
                <w:rFonts w:ascii="Arial" w:hAnsi="Arial" w:cs="Arial"/>
                <w:bCs/>
                <w:sz w:val="22"/>
                <w:szCs w:val="22"/>
              </w:rPr>
              <w:lastRenderedPageBreak/>
              <w:t xml:space="preserve">some of the services funded through the </w:t>
            </w:r>
            <w:proofErr w:type="spellStart"/>
            <w:r>
              <w:rPr>
                <w:rFonts w:ascii="Arial" w:hAnsi="Arial" w:cs="Arial"/>
                <w:bCs/>
                <w:sz w:val="22"/>
                <w:szCs w:val="22"/>
              </w:rPr>
              <w:t>Decat</w:t>
            </w:r>
            <w:proofErr w:type="spellEnd"/>
            <w:r>
              <w:rPr>
                <w:rFonts w:ascii="Arial" w:hAnsi="Arial" w:cs="Arial"/>
                <w:bCs/>
                <w:sz w:val="22"/>
                <w:szCs w:val="22"/>
              </w:rPr>
              <w:t xml:space="preserve"> project. The formal review process also serves as a learning opportunity for both contractor &amp; monitor, as sometimes finer contract details are “lost in translation” of staff turnover over the course of the life of the contract.</w:t>
            </w:r>
          </w:p>
        </w:tc>
        <w:tc>
          <w:tcPr>
            <w:tcW w:w="2574" w:type="dxa"/>
          </w:tcPr>
          <w:p w:rsidR="00BF0E11" w:rsidRDefault="00BF0E11" w:rsidP="00BF0E11">
            <w:pPr>
              <w:overflowPunct w:val="0"/>
              <w:autoSpaceDE w:val="0"/>
              <w:autoSpaceDN w:val="0"/>
              <w:adjustRightInd w:val="0"/>
              <w:rPr>
                <w:rFonts w:ascii="Arial" w:hAnsi="Arial" w:cs="Arial"/>
                <w:bCs/>
                <w:sz w:val="22"/>
                <w:szCs w:val="22"/>
              </w:rPr>
            </w:pPr>
          </w:p>
        </w:tc>
      </w:tr>
      <w:tr w:rsidR="00BF0E11" w:rsidRPr="00D03C6E" w:rsidTr="003F1EDF">
        <w:trPr>
          <w:gridAfter w:val="1"/>
          <w:wAfter w:w="2574" w:type="dxa"/>
        </w:trPr>
        <w:tc>
          <w:tcPr>
            <w:tcW w:w="10188" w:type="dxa"/>
          </w:tcPr>
          <w:p w:rsidR="00BF0E11" w:rsidRDefault="00BF0E11" w:rsidP="00BF0E11">
            <w:pPr>
              <w:overflowPunct w:val="0"/>
              <w:autoSpaceDE w:val="0"/>
              <w:autoSpaceDN w:val="0"/>
              <w:adjustRightInd w:val="0"/>
              <w:rPr>
                <w:rFonts w:ascii="Arial" w:hAnsi="Arial" w:cs="Arial"/>
                <w:bCs/>
                <w:sz w:val="22"/>
                <w:szCs w:val="22"/>
              </w:rPr>
            </w:pPr>
          </w:p>
          <w:p w:rsidR="00BF0E11" w:rsidRPr="003F1EDF" w:rsidRDefault="00BF0E11" w:rsidP="00BF0E11">
            <w:pPr>
              <w:overflowPunct w:val="0"/>
              <w:autoSpaceDE w:val="0"/>
              <w:autoSpaceDN w:val="0"/>
              <w:adjustRightInd w:val="0"/>
              <w:rPr>
                <w:rFonts w:ascii="Arial" w:hAnsi="Arial" w:cs="Arial"/>
                <w:b/>
                <w:bCs/>
                <w:sz w:val="22"/>
                <w:szCs w:val="22"/>
              </w:rPr>
            </w:pPr>
            <w:r w:rsidRPr="003F1EDF">
              <w:rPr>
                <w:rFonts w:ascii="Arial" w:hAnsi="Arial" w:cs="Arial"/>
                <w:b/>
                <w:bCs/>
                <w:sz w:val="22"/>
                <w:szCs w:val="22"/>
              </w:rPr>
              <w:t>Bid evaluators for March 5</w:t>
            </w:r>
            <w:r w:rsidRPr="003F1EDF">
              <w:rPr>
                <w:rFonts w:ascii="Arial" w:hAnsi="Arial" w:cs="Arial"/>
                <w:b/>
                <w:bCs/>
                <w:sz w:val="22"/>
                <w:szCs w:val="22"/>
                <w:vertAlign w:val="superscript"/>
              </w:rPr>
              <w:t>th</w:t>
            </w:r>
            <w:r w:rsidRPr="003F1EDF">
              <w:rPr>
                <w:rFonts w:ascii="Arial" w:hAnsi="Arial" w:cs="Arial"/>
                <w:b/>
                <w:bCs/>
                <w:sz w:val="22"/>
                <w:szCs w:val="22"/>
              </w:rPr>
              <w:t xml:space="preserve"> &amp; 6</w:t>
            </w:r>
            <w:r w:rsidRPr="003F1EDF">
              <w:rPr>
                <w:rFonts w:ascii="Arial" w:hAnsi="Arial" w:cs="Arial"/>
                <w:b/>
                <w:bCs/>
                <w:sz w:val="22"/>
                <w:szCs w:val="22"/>
                <w:vertAlign w:val="superscript"/>
              </w:rPr>
              <w:t>th</w:t>
            </w:r>
            <w:r w:rsidRPr="003F1EDF">
              <w:rPr>
                <w:rFonts w:ascii="Arial" w:hAnsi="Arial" w:cs="Arial"/>
                <w:b/>
                <w:bCs/>
                <w:sz w:val="22"/>
                <w:szCs w:val="22"/>
              </w:rPr>
              <w:t xml:space="preserve"> and for April 5</w:t>
            </w:r>
            <w:r w:rsidRPr="003F1EDF">
              <w:rPr>
                <w:rFonts w:ascii="Arial" w:hAnsi="Arial" w:cs="Arial"/>
                <w:b/>
                <w:bCs/>
                <w:sz w:val="22"/>
                <w:szCs w:val="22"/>
                <w:vertAlign w:val="superscript"/>
              </w:rPr>
              <w:t>th</w:t>
            </w:r>
            <w:r w:rsidRPr="003F1EDF">
              <w:rPr>
                <w:rFonts w:ascii="Arial" w:hAnsi="Arial" w:cs="Arial"/>
                <w:b/>
                <w:bCs/>
                <w:sz w:val="22"/>
                <w:szCs w:val="22"/>
              </w:rPr>
              <w:t xml:space="preserve"> &amp; 6</w:t>
            </w:r>
            <w:r w:rsidRPr="003F1EDF">
              <w:rPr>
                <w:rFonts w:ascii="Arial" w:hAnsi="Arial" w:cs="Arial"/>
                <w:b/>
                <w:bCs/>
                <w:sz w:val="22"/>
                <w:szCs w:val="22"/>
                <w:vertAlign w:val="superscript"/>
              </w:rPr>
              <w:t>th</w:t>
            </w:r>
            <w:r w:rsidRPr="003F1EDF">
              <w:rPr>
                <w:rFonts w:ascii="Arial" w:hAnsi="Arial" w:cs="Arial"/>
                <w:b/>
                <w:bCs/>
                <w:sz w:val="22"/>
                <w:szCs w:val="22"/>
              </w:rPr>
              <w:t xml:space="preserve"> </w:t>
            </w:r>
          </w:p>
          <w:p w:rsidR="00BF0E11" w:rsidRDefault="00BF0E11" w:rsidP="009751BA">
            <w:pPr>
              <w:overflowPunct w:val="0"/>
              <w:autoSpaceDE w:val="0"/>
              <w:autoSpaceDN w:val="0"/>
              <w:adjustRightInd w:val="0"/>
              <w:rPr>
                <w:rFonts w:ascii="Arial" w:hAnsi="Arial" w:cs="Arial"/>
                <w:bCs/>
                <w:sz w:val="22"/>
                <w:szCs w:val="22"/>
              </w:rPr>
            </w:pPr>
          </w:p>
          <w:p w:rsidR="0036393B" w:rsidRDefault="0036393B" w:rsidP="009751BA">
            <w:pPr>
              <w:overflowPunct w:val="0"/>
              <w:autoSpaceDE w:val="0"/>
              <w:autoSpaceDN w:val="0"/>
              <w:adjustRightInd w:val="0"/>
              <w:rPr>
                <w:rFonts w:ascii="Arial" w:hAnsi="Arial" w:cs="Arial"/>
                <w:bCs/>
                <w:sz w:val="22"/>
                <w:szCs w:val="22"/>
              </w:rPr>
            </w:pPr>
            <w:r>
              <w:rPr>
                <w:rFonts w:ascii="Arial" w:hAnsi="Arial" w:cs="Arial"/>
                <w:bCs/>
                <w:sz w:val="22"/>
                <w:szCs w:val="22"/>
              </w:rPr>
              <w:t>Kim A. expressed interest in participating in the evaluation for the Preventive Law &amp; Guidance bids in March. Angela W.</w:t>
            </w:r>
            <w:r w:rsidR="00A1749F">
              <w:rPr>
                <w:rFonts w:ascii="Arial" w:hAnsi="Arial" w:cs="Arial"/>
                <w:bCs/>
                <w:sz w:val="22"/>
                <w:szCs w:val="22"/>
              </w:rPr>
              <w:t xml:space="preserve"> &amp; Joyce B. expressed interest</w:t>
            </w:r>
            <w:bookmarkStart w:id="0" w:name="_GoBack"/>
            <w:bookmarkEnd w:id="0"/>
            <w:r>
              <w:rPr>
                <w:rFonts w:ascii="Arial" w:hAnsi="Arial" w:cs="Arial"/>
                <w:bCs/>
                <w:sz w:val="22"/>
                <w:szCs w:val="22"/>
              </w:rPr>
              <w:t xml:space="preserve"> in participating in the evaluation for the Psychological Evaluations bids in April.</w:t>
            </w:r>
          </w:p>
          <w:p w:rsidR="00BF0E11" w:rsidRPr="00D03C6E" w:rsidRDefault="00BF0E11" w:rsidP="009751BA">
            <w:pPr>
              <w:overflowPunct w:val="0"/>
              <w:autoSpaceDE w:val="0"/>
              <w:autoSpaceDN w:val="0"/>
              <w:adjustRightInd w:val="0"/>
              <w:ind w:left="720"/>
              <w:rPr>
                <w:rFonts w:ascii="Arial" w:hAnsi="Arial" w:cs="Arial"/>
                <w:bCs/>
                <w:sz w:val="22"/>
                <w:szCs w:val="22"/>
              </w:rPr>
            </w:pPr>
          </w:p>
        </w:tc>
      </w:tr>
      <w:tr w:rsidR="00BF0E11" w:rsidRPr="00D03C6E" w:rsidTr="003F1EDF">
        <w:tc>
          <w:tcPr>
            <w:tcW w:w="10188" w:type="dxa"/>
          </w:tcPr>
          <w:p w:rsidR="00BF0E11" w:rsidRDefault="00BF0E11" w:rsidP="00BF0E11">
            <w:pPr>
              <w:overflowPunct w:val="0"/>
              <w:autoSpaceDE w:val="0"/>
              <w:autoSpaceDN w:val="0"/>
              <w:adjustRightInd w:val="0"/>
              <w:rPr>
                <w:rFonts w:ascii="Arial" w:hAnsi="Arial" w:cs="Arial"/>
                <w:b/>
                <w:bCs/>
                <w:sz w:val="22"/>
                <w:szCs w:val="22"/>
              </w:rPr>
            </w:pPr>
            <w:r w:rsidRPr="0036393B">
              <w:rPr>
                <w:rFonts w:ascii="Arial" w:hAnsi="Arial" w:cs="Arial"/>
                <w:b/>
                <w:bCs/>
                <w:sz w:val="22"/>
                <w:szCs w:val="22"/>
              </w:rPr>
              <w:t>Update on community trainings</w:t>
            </w:r>
          </w:p>
          <w:p w:rsidR="0036393B" w:rsidRDefault="0036393B" w:rsidP="00BF0E11">
            <w:pPr>
              <w:overflowPunct w:val="0"/>
              <w:autoSpaceDE w:val="0"/>
              <w:autoSpaceDN w:val="0"/>
              <w:adjustRightInd w:val="0"/>
              <w:rPr>
                <w:rFonts w:ascii="Arial" w:hAnsi="Arial" w:cs="Arial"/>
                <w:b/>
                <w:bCs/>
                <w:sz w:val="22"/>
                <w:szCs w:val="22"/>
              </w:rPr>
            </w:pPr>
          </w:p>
          <w:p w:rsidR="0036393B" w:rsidRDefault="0036393B" w:rsidP="00BF0E11">
            <w:pPr>
              <w:overflowPunct w:val="0"/>
              <w:autoSpaceDE w:val="0"/>
              <w:autoSpaceDN w:val="0"/>
              <w:adjustRightInd w:val="0"/>
              <w:rPr>
                <w:rFonts w:ascii="Arial" w:hAnsi="Arial" w:cs="Arial"/>
                <w:bCs/>
                <w:sz w:val="22"/>
                <w:szCs w:val="22"/>
              </w:rPr>
            </w:pPr>
            <w:r>
              <w:rPr>
                <w:rFonts w:ascii="Arial" w:hAnsi="Arial" w:cs="Arial"/>
                <w:bCs/>
                <w:sz w:val="22"/>
                <w:szCs w:val="22"/>
              </w:rPr>
              <w:t xml:space="preserve">Polk </w:t>
            </w:r>
            <w:proofErr w:type="spellStart"/>
            <w:r>
              <w:rPr>
                <w:rFonts w:ascii="Arial" w:hAnsi="Arial" w:cs="Arial"/>
                <w:bCs/>
                <w:sz w:val="22"/>
                <w:szCs w:val="22"/>
              </w:rPr>
              <w:t>Decat</w:t>
            </w:r>
            <w:proofErr w:type="spellEnd"/>
            <w:r>
              <w:rPr>
                <w:rFonts w:ascii="Arial" w:hAnsi="Arial" w:cs="Arial"/>
                <w:bCs/>
                <w:sz w:val="22"/>
                <w:szCs w:val="22"/>
              </w:rPr>
              <w:t>/CPPC has several community trainings in the hopper, including:</w:t>
            </w:r>
          </w:p>
          <w:p w:rsidR="0036393B" w:rsidRDefault="0036393B" w:rsidP="0036393B">
            <w:pPr>
              <w:pStyle w:val="ListParagraph"/>
              <w:numPr>
                <w:ilvl w:val="0"/>
                <w:numId w:val="9"/>
              </w:numPr>
              <w:overflowPunct w:val="0"/>
              <w:autoSpaceDE w:val="0"/>
              <w:autoSpaceDN w:val="0"/>
              <w:adjustRightInd w:val="0"/>
              <w:rPr>
                <w:rFonts w:ascii="Arial" w:hAnsi="Arial" w:cs="Arial"/>
                <w:bCs/>
                <w:sz w:val="22"/>
                <w:szCs w:val="22"/>
              </w:rPr>
            </w:pPr>
            <w:r>
              <w:rPr>
                <w:rFonts w:ascii="Arial" w:hAnsi="Arial" w:cs="Arial"/>
                <w:bCs/>
                <w:sz w:val="22"/>
                <w:szCs w:val="22"/>
              </w:rPr>
              <w:t>Screenings of the films “Paper Tigers” and “Resilience”</w:t>
            </w:r>
          </w:p>
          <w:p w:rsidR="0036393B" w:rsidRDefault="0036393B" w:rsidP="0036393B">
            <w:pPr>
              <w:pStyle w:val="ListParagraph"/>
              <w:numPr>
                <w:ilvl w:val="0"/>
                <w:numId w:val="9"/>
              </w:numPr>
              <w:overflowPunct w:val="0"/>
              <w:autoSpaceDE w:val="0"/>
              <w:autoSpaceDN w:val="0"/>
              <w:adjustRightInd w:val="0"/>
              <w:rPr>
                <w:rFonts w:ascii="Arial" w:hAnsi="Arial" w:cs="Arial"/>
                <w:bCs/>
                <w:sz w:val="22"/>
                <w:szCs w:val="22"/>
              </w:rPr>
            </w:pPr>
            <w:r>
              <w:rPr>
                <w:rFonts w:ascii="Arial" w:hAnsi="Arial" w:cs="Arial"/>
                <w:bCs/>
                <w:sz w:val="22"/>
                <w:szCs w:val="22"/>
              </w:rPr>
              <w:t xml:space="preserve">CPPC </w:t>
            </w:r>
            <w:r w:rsidR="00A1749F">
              <w:rPr>
                <w:rFonts w:ascii="Arial" w:hAnsi="Arial" w:cs="Arial"/>
                <w:bCs/>
                <w:sz w:val="22"/>
                <w:szCs w:val="22"/>
              </w:rPr>
              <w:t xml:space="preserve">Immersion </w:t>
            </w:r>
            <w:r>
              <w:rPr>
                <w:rFonts w:ascii="Arial" w:hAnsi="Arial" w:cs="Arial"/>
                <w:bCs/>
                <w:sz w:val="22"/>
                <w:szCs w:val="22"/>
              </w:rPr>
              <w:t>101 (early May)</w:t>
            </w:r>
          </w:p>
          <w:p w:rsidR="0036393B" w:rsidRDefault="0036393B" w:rsidP="0036393B">
            <w:pPr>
              <w:pStyle w:val="ListParagraph"/>
              <w:numPr>
                <w:ilvl w:val="0"/>
                <w:numId w:val="9"/>
              </w:numPr>
              <w:overflowPunct w:val="0"/>
              <w:autoSpaceDE w:val="0"/>
              <w:autoSpaceDN w:val="0"/>
              <w:adjustRightInd w:val="0"/>
              <w:rPr>
                <w:rFonts w:ascii="Arial" w:hAnsi="Arial" w:cs="Arial"/>
                <w:bCs/>
                <w:sz w:val="22"/>
                <w:szCs w:val="22"/>
              </w:rPr>
            </w:pPr>
            <w:r>
              <w:rPr>
                <w:rFonts w:ascii="Arial" w:hAnsi="Arial" w:cs="Arial"/>
                <w:bCs/>
                <w:sz w:val="22"/>
                <w:szCs w:val="22"/>
              </w:rPr>
              <w:t>“Day in the Life” of refugee/immigrant neighbors</w:t>
            </w:r>
          </w:p>
          <w:p w:rsidR="0036393B" w:rsidRDefault="0036393B" w:rsidP="0036393B">
            <w:pPr>
              <w:pStyle w:val="ListParagraph"/>
              <w:numPr>
                <w:ilvl w:val="0"/>
                <w:numId w:val="9"/>
              </w:numPr>
              <w:overflowPunct w:val="0"/>
              <w:autoSpaceDE w:val="0"/>
              <w:autoSpaceDN w:val="0"/>
              <w:adjustRightInd w:val="0"/>
              <w:rPr>
                <w:rFonts w:ascii="Arial" w:hAnsi="Arial" w:cs="Arial"/>
                <w:bCs/>
                <w:sz w:val="22"/>
                <w:szCs w:val="22"/>
              </w:rPr>
            </w:pPr>
            <w:r>
              <w:rPr>
                <w:rFonts w:ascii="Arial" w:hAnsi="Arial" w:cs="Arial"/>
                <w:bCs/>
                <w:sz w:val="22"/>
                <w:szCs w:val="22"/>
              </w:rPr>
              <w:t xml:space="preserve">Community Building </w:t>
            </w:r>
          </w:p>
          <w:p w:rsidR="0036393B" w:rsidRDefault="0036393B" w:rsidP="0036393B">
            <w:pPr>
              <w:pStyle w:val="ListParagraph"/>
              <w:numPr>
                <w:ilvl w:val="0"/>
                <w:numId w:val="9"/>
              </w:numPr>
              <w:overflowPunct w:val="0"/>
              <w:autoSpaceDE w:val="0"/>
              <w:autoSpaceDN w:val="0"/>
              <w:adjustRightInd w:val="0"/>
              <w:rPr>
                <w:rFonts w:ascii="Arial" w:hAnsi="Arial" w:cs="Arial"/>
                <w:bCs/>
                <w:sz w:val="22"/>
                <w:szCs w:val="22"/>
              </w:rPr>
            </w:pPr>
            <w:r>
              <w:rPr>
                <w:rFonts w:ascii="Arial" w:hAnsi="Arial" w:cs="Arial"/>
                <w:bCs/>
                <w:sz w:val="22"/>
                <w:szCs w:val="22"/>
              </w:rPr>
              <w:t>FTDM/YTDM</w:t>
            </w:r>
          </w:p>
          <w:p w:rsidR="003D15BE" w:rsidRDefault="003D15BE" w:rsidP="0036393B">
            <w:pPr>
              <w:pStyle w:val="ListParagraph"/>
              <w:numPr>
                <w:ilvl w:val="0"/>
                <w:numId w:val="9"/>
              </w:numPr>
              <w:overflowPunct w:val="0"/>
              <w:autoSpaceDE w:val="0"/>
              <w:autoSpaceDN w:val="0"/>
              <w:adjustRightInd w:val="0"/>
              <w:rPr>
                <w:rFonts w:ascii="Arial" w:hAnsi="Arial" w:cs="Arial"/>
                <w:bCs/>
                <w:sz w:val="22"/>
                <w:szCs w:val="22"/>
              </w:rPr>
            </w:pPr>
            <w:r>
              <w:rPr>
                <w:rFonts w:ascii="Arial" w:hAnsi="Arial" w:cs="Arial"/>
                <w:bCs/>
                <w:sz w:val="22"/>
                <w:szCs w:val="22"/>
              </w:rPr>
              <w:t>Connections Matter (possible)</w:t>
            </w:r>
          </w:p>
          <w:p w:rsidR="0036393B" w:rsidRPr="0036393B" w:rsidRDefault="0036393B" w:rsidP="0036393B">
            <w:pPr>
              <w:pStyle w:val="ListParagraph"/>
              <w:overflowPunct w:val="0"/>
              <w:autoSpaceDE w:val="0"/>
              <w:autoSpaceDN w:val="0"/>
              <w:adjustRightInd w:val="0"/>
              <w:rPr>
                <w:rFonts w:ascii="Arial" w:hAnsi="Arial" w:cs="Arial"/>
                <w:bCs/>
                <w:sz w:val="22"/>
                <w:szCs w:val="22"/>
              </w:rPr>
            </w:pPr>
          </w:p>
        </w:tc>
        <w:tc>
          <w:tcPr>
            <w:tcW w:w="2574" w:type="dxa"/>
          </w:tcPr>
          <w:p w:rsidR="00BF0E11" w:rsidRDefault="00BF0E11" w:rsidP="00BF0E11">
            <w:pPr>
              <w:overflowPunct w:val="0"/>
              <w:autoSpaceDE w:val="0"/>
              <w:autoSpaceDN w:val="0"/>
              <w:adjustRightInd w:val="0"/>
              <w:rPr>
                <w:rFonts w:ascii="Arial" w:hAnsi="Arial" w:cs="Arial"/>
                <w:bCs/>
                <w:sz w:val="22"/>
                <w:szCs w:val="22"/>
              </w:rPr>
            </w:pPr>
          </w:p>
        </w:tc>
      </w:tr>
      <w:tr w:rsidR="00BF0E11" w:rsidRPr="00D03C6E" w:rsidTr="003F1EDF">
        <w:tc>
          <w:tcPr>
            <w:tcW w:w="10188" w:type="dxa"/>
          </w:tcPr>
          <w:p w:rsidR="00BF0E11" w:rsidRPr="0036393B" w:rsidRDefault="0036393B" w:rsidP="00BF0E11">
            <w:pPr>
              <w:overflowPunct w:val="0"/>
              <w:autoSpaceDE w:val="0"/>
              <w:autoSpaceDN w:val="0"/>
              <w:adjustRightInd w:val="0"/>
              <w:rPr>
                <w:rFonts w:ascii="Arial" w:hAnsi="Arial" w:cs="Arial"/>
                <w:b/>
                <w:bCs/>
                <w:sz w:val="22"/>
                <w:szCs w:val="22"/>
              </w:rPr>
            </w:pPr>
            <w:proofErr w:type="spellStart"/>
            <w:r>
              <w:rPr>
                <w:rFonts w:ascii="Arial" w:hAnsi="Arial" w:cs="Arial"/>
                <w:b/>
                <w:bCs/>
                <w:sz w:val="22"/>
                <w:szCs w:val="22"/>
              </w:rPr>
              <w:t>Adjorn</w:t>
            </w:r>
            <w:proofErr w:type="spellEnd"/>
            <w:r>
              <w:rPr>
                <w:rFonts w:ascii="Arial" w:hAnsi="Arial" w:cs="Arial"/>
                <w:b/>
                <w:bCs/>
                <w:sz w:val="22"/>
                <w:szCs w:val="22"/>
              </w:rPr>
              <w:t xml:space="preserve"> by Teresa Burke at 10:01a</w:t>
            </w:r>
          </w:p>
        </w:tc>
        <w:tc>
          <w:tcPr>
            <w:tcW w:w="2574" w:type="dxa"/>
          </w:tcPr>
          <w:p w:rsidR="00BF0E11" w:rsidRDefault="00BF0E11" w:rsidP="0002670D">
            <w:pPr>
              <w:overflowPunct w:val="0"/>
              <w:autoSpaceDE w:val="0"/>
              <w:autoSpaceDN w:val="0"/>
              <w:adjustRightInd w:val="0"/>
              <w:rPr>
                <w:rFonts w:ascii="Arial" w:hAnsi="Arial" w:cs="Arial"/>
                <w:bCs/>
                <w:sz w:val="22"/>
                <w:szCs w:val="22"/>
              </w:rPr>
            </w:pPr>
          </w:p>
        </w:tc>
      </w:tr>
    </w:tbl>
    <w:p w:rsidR="00E7785E" w:rsidRPr="00D03C6E" w:rsidRDefault="00E7785E" w:rsidP="00D03893">
      <w:pPr>
        <w:rPr>
          <w:sz w:val="22"/>
          <w:szCs w:val="22"/>
        </w:rPr>
      </w:pPr>
    </w:p>
    <w:sectPr w:rsidR="00E7785E" w:rsidRPr="00D03C6E" w:rsidSect="00D03893">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3B" w:rsidRDefault="0070463B" w:rsidP="00E7785E">
      <w:r>
        <w:separator/>
      </w:r>
    </w:p>
  </w:endnote>
  <w:endnote w:type="continuationSeparator" w:id="0">
    <w:p w:rsidR="0070463B" w:rsidRDefault="0070463B"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3B" w:rsidRDefault="0070463B" w:rsidP="00E7785E">
      <w:r>
        <w:separator/>
      </w:r>
    </w:p>
  </w:footnote>
  <w:footnote w:type="continuationSeparator" w:id="0">
    <w:p w:rsidR="0070463B" w:rsidRDefault="0070463B" w:rsidP="00E77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660C"/>
    <w:multiLevelType w:val="hybridMultilevel"/>
    <w:tmpl w:val="66C04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75527"/>
    <w:multiLevelType w:val="hybridMultilevel"/>
    <w:tmpl w:val="06EE21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2412184"/>
    <w:multiLevelType w:val="hybridMultilevel"/>
    <w:tmpl w:val="19400E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826531F"/>
    <w:multiLevelType w:val="hybridMultilevel"/>
    <w:tmpl w:val="362CA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10512"/>
    <w:multiLevelType w:val="hybridMultilevel"/>
    <w:tmpl w:val="65DC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0F5041"/>
    <w:multiLevelType w:val="hybridMultilevel"/>
    <w:tmpl w:val="2F3C5CC8"/>
    <w:lvl w:ilvl="0" w:tplc="335E2A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A87CF0"/>
    <w:multiLevelType w:val="hybridMultilevel"/>
    <w:tmpl w:val="A316F6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B4743EC"/>
    <w:multiLevelType w:val="hybridMultilevel"/>
    <w:tmpl w:val="0C4AE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D6236E"/>
    <w:multiLevelType w:val="hybridMultilevel"/>
    <w:tmpl w:val="972C01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7"/>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95"/>
    <w:rsid w:val="00006C96"/>
    <w:rsid w:val="0002670D"/>
    <w:rsid w:val="00026E8F"/>
    <w:rsid w:val="00045385"/>
    <w:rsid w:val="0006794C"/>
    <w:rsid w:val="00072018"/>
    <w:rsid w:val="00081C39"/>
    <w:rsid w:val="00090B21"/>
    <w:rsid w:val="000E5D7A"/>
    <w:rsid w:val="000E5FCC"/>
    <w:rsid w:val="00116414"/>
    <w:rsid w:val="001508A8"/>
    <w:rsid w:val="00156423"/>
    <w:rsid w:val="0018278D"/>
    <w:rsid w:val="001E429F"/>
    <w:rsid w:val="001F3197"/>
    <w:rsid w:val="001F536B"/>
    <w:rsid w:val="002032A3"/>
    <w:rsid w:val="00252E13"/>
    <w:rsid w:val="00264E5C"/>
    <w:rsid w:val="00277FBF"/>
    <w:rsid w:val="0028774C"/>
    <w:rsid w:val="002A389A"/>
    <w:rsid w:val="002A3BBB"/>
    <w:rsid w:val="0030213E"/>
    <w:rsid w:val="00357410"/>
    <w:rsid w:val="00361AD1"/>
    <w:rsid w:val="0036393B"/>
    <w:rsid w:val="00371308"/>
    <w:rsid w:val="00373716"/>
    <w:rsid w:val="003C0467"/>
    <w:rsid w:val="003D140A"/>
    <w:rsid w:val="003D15BE"/>
    <w:rsid w:val="003E0927"/>
    <w:rsid w:val="003E572C"/>
    <w:rsid w:val="003E5AAA"/>
    <w:rsid w:val="003E6EE8"/>
    <w:rsid w:val="003F1EDF"/>
    <w:rsid w:val="003F4887"/>
    <w:rsid w:val="00417792"/>
    <w:rsid w:val="00425D93"/>
    <w:rsid w:val="00440E52"/>
    <w:rsid w:val="004438E8"/>
    <w:rsid w:val="004675C6"/>
    <w:rsid w:val="00475BAA"/>
    <w:rsid w:val="00485EC9"/>
    <w:rsid w:val="00487F94"/>
    <w:rsid w:val="004C3E5F"/>
    <w:rsid w:val="004E27B4"/>
    <w:rsid w:val="004F0714"/>
    <w:rsid w:val="0050372F"/>
    <w:rsid w:val="005208FC"/>
    <w:rsid w:val="005502E9"/>
    <w:rsid w:val="00575C88"/>
    <w:rsid w:val="005842D3"/>
    <w:rsid w:val="00594857"/>
    <w:rsid w:val="005A1338"/>
    <w:rsid w:val="005B57E9"/>
    <w:rsid w:val="005D179D"/>
    <w:rsid w:val="005D3FCD"/>
    <w:rsid w:val="005D4426"/>
    <w:rsid w:val="005E064C"/>
    <w:rsid w:val="005E1957"/>
    <w:rsid w:val="005E49EC"/>
    <w:rsid w:val="005F4D6F"/>
    <w:rsid w:val="0060556A"/>
    <w:rsid w:val="006173E2"/>
    <w:rsid w:val="00630024"/>
    <w:rsid w:val="006447C4"/>
    <w:rsid w:val="006772DB"/>
    <w:rsid w:val="00682374"/>
    <w:rsid w:val="00684463"/>
    <w:rsid w:val="00691C73"/>
    <w:rsid w:val="0069212A"/>
    <w:rsid w:val="007018E4"/>
    <w:rsid w:val="0070463B"/>
    <w:rsid w:val="007733CB"/>
    <w:rsid w:val="00775E97"/>
    <w:rsid w:val="007B4E79"/>
    <w:rsid w:val="007B6B77"/>
    <w:rsid w:val="007C3B5A"/>
    <w:rsid w:val="007D1FBB"/>
    <w:rsid w:val="007E0118"/>
    <w:rsid w:val="007F352D"/>
    <w:rsid w:val="007F4995"/>
    <w:rsid w:val="0080527B"/>
    <w:rsid w:val="00810F21"/>
    <w:rsid w:val="00812E67"/>
    <w:rsid w:val="00815222"/>
    <w:rsid w:val="00817A9F"/>
    <w:rsid w:val="0082247B"/>
    <w:rsid w:val="008248D0"/>
    <w:rsid w:val="00831A11"/>
    <w:rsid w:val="008449BF"/>
    <w:rsid w:val="00846DA8"/>
    <w:rsid w:val="008775DB"/>
    <w:rsid w:val="00897D08"/>
    <w:rsid w:val="008B3ADE"/>
    <w:rsid w:val="008E33AA"/>
    <w:rsid w:val="008F36D7"/>
    <w:rsid w:val="009044EF"/>
    <w:rsid w:val="00910EC3"/>
    <w:rsid w:val="00914C6C"/>
    <w:rsid w:val="009279BC"/>
    <w:rsid w:val="009322D4"/>
    <w:rsid w:val="009357C4"/>
    <w:rsid w:val="009616D3"/>
    <w:rsid w:val="00973F15"/>
    <w:rsid w:val="009751BA"/>
    <w:rsid w:val="0099450D"/>
    <w:rsid w:val="00995DAD"/>
    <w:rsid w:val="009A4BE3"/>
    <w:rsid w:val="00A04A49"/>
    <w:rsid w:val="00A05EB7"/>
    <w:rsid w:val="00A062EB"/>
    <w:rsid w:val="00A1749F"/>
    <w:rsid w:val="00A30EB9"/>
    <w:rsid w:val="00A36E3D"/>
    <w:rsid w:val="00A567AE"/>
    <w:rsid w:val="00A62F89"/>
    <w:rsid w:val="00A82389"/>
    <w:rsid w:val="00A86BAE"/>
    <w:rsid w:val="00A91F48"/>
    <w:rsid w:val="00A93C9A"/>
    <w:rsid w:val="00A97FC4"/>
    <w:rsid w:val="00AA6F57"/>
    <w:rsid w:val="00AA7591"/>
    <w:rsid w:val="00AC3C17"/>
    <w:rsid w:val="00AD42EF"/>
    <w:rsid w:val="00AD71A3"/>
    <w:rsid w:val="00B138FA"/>
    <w:rsid w:val="00B41314"/>
    <w:rsid w:val="00B43041"/>
    <w:rsid w:val="00B52F88"/>
    <w:rsid w:val="00B635B1"/>
    <w:rsid w:val="00B91B4E"/>
    <w:rsid w:val="00B963CB"/>
    <w:rsid w:val="00BA5A42"/>
    <w:rsid w:val="00BC2EE1"/>
    <w:rsid w:val="00BD0AFA"/>
    <w:rsid w:val="00BD73E0"/>
    <w:rsid w:val="00BE2EA0"/>
    <w:rsid w:val="00BE412F"/>
    <w:rsid w:val="00BE785A"/>
    <w:rsid w:val="00BF0E11"/>
    <w:rsid w:val="00C05094"/>
    <w:rsid w:val="00C25175"/>
    <w:rsid w:val="00C32196"/>
    <w:rsid w:val="00C37AE8"/>
    <w:rsid w:val="00C51F3A"/>
    <w:rsid w:val="00C522B7"/>
    <w:rsid w:val="00C62B3B"/>
    <w:rsid w:val="00C8013B"/>
    <w:rsid w:val="00CA3A20"/>
    <w:rsid w:val="00CB0248"/>
    <w:rsid w:val="00CD4B63"/>
    <w:rsid w:val="00CE390F"/>
    <w:rsid w:val="00CF1263"/>
    <w:rsid w:val="00D03893"/>
    <w:rsid w:val="00D03C6E"/>
    <w:rsid w:val="00D11558"/>
    <w:rsid w:val="00D231F5"/>
    <w:rsid w:val="00D25551"/>
    <w:rsid w:val="00D264B8"/>
    <w:rsid w:val="00D30DBD"/>
    <w:rsid w:val="00D43903"/>
    <w:rsid w:val="00D70792"/>
    <w:rsid w:val="00D7184A"/>
    <w:rsid w:val="00D955E2"/>
    <w:rsid w:val="00DC3DEA"/>
    <w:rsid w:val="00DC710A"/>
    <w:rsid w:val="00DE5398"/>
    <w:rsid w:val="00DE7402"/>
    <w:rsid w:val="00E01439"/>
    <w:rsid w:val="00E16C80"/>
    <w:rsid w:val="00E26D5D"/>
    <w:rsid w:val="00E3219B"/>
    <w:rsid w:val="00E64827"/>
    <w:rsid w:val="00E7785E"/>
    <w:rsid w:val="00E8295D"/>
    <w:rsid w:val="00E91C52"/>
    <w:rsid w:val="00E95099"/>
    <w:rsid w:val="00E96CC4"/>
    <w:rsid w:val="00ED7A7D"/>
    <w:rsid w:val="00EE01A8"/>
    <w:rsid w:val="00EE236D"/>
    <w:rsid w:val="00EE6C37"/>
    <w:rsid w:val="00F1169B"/>
    <w:rsid w:val="00F12569"/>
    <w:rsid w:val="00F12F84"/>
    <w:rsid w:val="00F4734B"/>
    <w:rsid w:val="00F95655"/>
    <w:rsid w:val="00FC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semiHidden/>
    <w:unhideWhenUsed/>
    <w:rsid w:val="00E7785E"/>
    <w:pPr>
      <w:tabs>
        <w:tab w:val="center" w:pos="4680"/>
        <w:tab w:val="right" w:pos="9360"/>
      </w:tabs>
    </w:pPr>
  </w:style>
  <w:style w:type="character" w:customStyle="1" w:styleId="HeaderChar">
    <w:name w:val="Header Char"/>
    <w:link w:val="Header"/>
    <w:uiPriority w:val="99"/>
    <w:semiHidden/>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table" w:styleId="TableGrid">
    <w:name w:val="Table Grid"/>
    <w:basedOn w:val="TableNormal"/>
    <w:uiPriority w:val="59"/>
    <w:rsid w:val="00A56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semiHidden/>
    <w:unhideWhenUsed/>
    <w:rsid w:val="00E7785E"/>
    <w:pPr>
      <w:tabs>
        <w:tab w:val="center" w:pos="4680"/>
        <w:tab w:val="right" w:pos="9360"/>
      </w:tabs>
    </w:pPr>
  </w:style>
  <w:style w:type="character" w:customStyle="1" w:styleId="HeaderChar">
    <w:name w:val="Header Char"/>
    <w:link w:val="Header"/>
    <w:uiPriority w:val="99"/>
    <w:semiHidden/>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table" w:styleId="TableGrid">
    <w:name w:val="Table Grid"/>
    <w:basedOn w:val="TableNormal"/>
    <w:uiPriority w:val="59"/>
    <w:rsid w:val="00A56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aharrma</dc:creator>
  <cp:lastModifiedBy>Kauffman, Jordan M</cp:lastModifiedBy>
  <cp:revision>6</cp:revision>
  <cp:lastPrinted>2017-07-10T20:52:00Z</cp:lastPrinted>
  <dcterms:created xsi:type="dcterms:W3CDTF">2018-01-17T17:55:00Z</dcterms:created>
  <dcterms:modified xsi:type="dcterms:W3CDTF">2018-01-17T19:16:00Z</dcterms:modified>
</cp:coreProperties>
</file>