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95" w:rsidRDefault="00E95351" w:rsidP="008F4D57">
      <w:pPr>
        <w:jc w:val="center"/>
      </w:pPr>
      <w:r>
        <w:rPr>
          <w:noProof/>
          <w:sz w:val="22"/>
          <w:szCs w:val="22"/>
        </w:rPr>
        <w:drawing>
          <wp:inline distT="0" distB="0" distL="0" distR="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rsidR="00AA25BF" w:rsidRDefault="00AA25BF" w:rsidP="007F4995"/>
    <w:p w:rsidR="007F4995" w:rsidRDefault="007F4995" w:rsidP="007F4995">
      <w:pPr>
        <w:pStyle w:val="Heading4"/>
        <w:rPr>
          <w:rFonts w:ascii="Arial" w:hAnsi="Arial" w:cs="Arial"/>
        </w:rPr>
      </w:pPr>
      <w:r>
        <w:rPr>
          <w:rFonts w:ascii="Arial" w:hAnsi="Arial" w:cs="Arial"/>
        </w:rPr>
        <w:t>EXECUTIVE COMMITTEE</w:t>
      </w:r>
      <w:r w:rsidR="001E03BF">
        <w:rPr>
          <w:rFonts w:ascii="Arial" w:hAnsi="Arial" w:cs="Arial"/>
        </w:rPr>
        <w:t xml:space="preserve"> </w:t>
      </w:r>
      <w:r w:rsidR="008C41B3">
        <w:rPr>
          <w:rFonts w:ascii="Arial" w:hAnsi="Arial" w:cs="Arial"/>
        </w:rPr>
        <w:t>Meeting</w:t>
      </w:r>
    </w:p>
    <w:p w:rsidR="007F4995" w:rsidRDefault="004B4B79" w:rsidP="007F4995">
      <w:pPr>
        <w:overflowPunct w:val="0"/>
        <w:autoSpaceDE w:val="0"/>
        <w:autoSpaceDN w:val="0"/>
        <w:adjustRightInd w:val="0"/>
        <w:jc w:val="center"/>
        <w:rPr>
          <w:rFonts w:ascii="Arial" w:hAnsi="Arial" w:cs="Arial"/>
          <w:b/>
          <w:bCs/>
          <w:sz w:val="28"/>
          <w:szCs w:val="20"/>
        </w:rPr>
      </w:pPr>
      <w:r>
        <w:rPr>
          <w:rFonts w:ascii="Arial" w:hAnsi="Arial" w:cs="Arial"/>
          <w:b/>
          <w:bCs/>
          <w:sz w:val="28"/>
        </w:rPr>
        <w:t xml:space="preserve">Thursday, </w:t>
      </w:r>
      <w:r w:rsidR="004566F2">
        <w:rPr>
          <w:rFonts w:ascii="Arial" w:hAnsi="Arial" w:cs="Arial"/>
          <w:b/>
          <w:bCs/>
          <w:sz w:val="28"/>
        </w:rPr>
        <w:t>September 12</w:t>
      </w:r>
      <w:r w:rsidR="00E453E8">
        <w:rPr>
          <w:rFonts w:ascii="Arial" w:hAnsi="Arial" w:cs="Arial"/>
          <w:b/>
          <w:bCs/>
          <w:sz w:val="28"/>
        </w:rPr>
        <w:t>, 2019</w:t>
      </w:r>
    </w:p>
    <w:p w:rsidR="00AA25BF" w:rsidRDefault="00AA25BF" w:rsidP="007F4995">
      <w:pPr>
        <w:overflowPunct w:val="0"/>
        <w:autoSpaceDE w:val="0"/>
        <w:autoSpaceDN w:val="0"/>
        <w:adjustRightInd w:val="0"/>
        <w:jc w:val="center"/>
        <w:rPr>
          <w:rFonts w:ascii="Arial" w:hAnsi="Arial" w:cs="Arial"/>
          <w:b/>
          <w:bCs/>
          <w:sz w:val="28"/>
          <w:szCs w:val="20"/>
        </w:rPr>
      </w:pPr>
    </w:p>
    <w:p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rsidR="003778A5" w:rsidRDefault="00E453E8" w:rsidP="003778A5">
      <w:pPr>
        <w:numPr>
          <w:ilvl w:val="0"/>
          <w:numId w:val="1"/>
        </w:numPr>
        <w:overflowPunct w:val="0"/>
        <w:autoSpaceDE w:val="0"/>
        <w:autoSpaceDN w:val="0"/>
        <w:adjustRightInd w:val="0"/>
        <w:rPr>
          <w:bCs/>
          <w:sz w:val="23"/>
          <w:szCs w:val="23"/>
        </w:rPr>
      </w:pPr>
      <w:r w:rsidRPr="004566F2">
        <w:rPr>
          <w:bCs/>
          <w:sz w:val="23"/>
          <w:szCs w:val="23"/>
        </w:rPr>
        <w:t>Betty Devine</w:t>
      </w:r>
      <w:r w:rsidR="00F46816" w:rsidRPr="004566F2">
        <w:rPr>
          <w:bCs/>
          <w:sz w:val="23"/>
          <w:szCs w:val="23"/>
        </w:rPr>
        <w:t xml:space="preserve"> </w:t>
      </w:r>
      <w:r w:rsidR="00F01B68" w:rsidRPr="004566F2">
        <w:rPr>
          <w:bCs/>
          <w:sz w:val="23"/>
          <w:szCs w:val="23"/>
        </w:rPr>
        <w:t>called the meeting to order at 10:0</w:t>
      </w:r>
      <w:r w:rsidR="001E03BF" w:rsidRPr="004566F2">
        <w:rPr>
          <w:bCs/>
          <w:sz w:val="23"/>
          <w:szCs w:val="23"/>
        </w:rPr>
        <w:t>2</w:t>
      </w:r>
      <w:r w:rsidR="00F01B68" w:rsidRPr="004566F2">
        <w:rPr>
          <w:bCs/>
          <w:sz w:val="23"/>
          <w:szCs w:val="23"/>
        </w:rPr>
        <w:t xml:space="preserve"> am</w:t>
      </w:r>
      <w:r w:rsidR="00F46816" w:rsidRPr="004566F2">
        <w:rPr>
          <w:bCs/>
          <w:sz w:val="23"/>
          <w:szCs w:val="23"/>
        </w:rPr>
        <w:t>.  Also present were</w:t>
      </w:r>
      <w:r w:rsidR="0092520E" w:rsidRPr="004566F2">
        <w:rPr>
          <w:bCs/>
          <w:sz w:val="23"/>
          <w:szCs w:val="23"/>
        </w:rPr>
        <w:t xml:space="preserve"> </w:t>
      </w:r>
      <w:r w:rsidR="008C41B3" w:rsidRPr="004566F2">
        <w:rPr>
          <w:bCs/>
          <w:sz w:val="23"/>
          <w:szCs w:val="23"/>
        </w:rPr>
        <w:t>Chad Jensen</w:t>
      </w:r>
      <w:r w:rsidR="0092520E" w:rsidRPr="004566F2">
        <w:rPr>
          <w:bCs/>
          <w:sz w:val="23"/>
          <w:szCs w:val="23"/>
        </w:rPr>
        <w:t xml:space="preserve">, </w:t>
      </w:r>
      <w:r w:rsidR="007962A3" w:rsidRPr="004566F2">
        <w:rPr>
          <w:bCs/>
          <w:sz w:val="23"/>
          <w:szCs w:val="23"/>
        </w:rPr>
        <w:t xml:space="preserve">Matt Haynes, </w:t>
      </w:r>
      <w:r w:rsidR="000B6D43" w:rsidRPr="004566F2">
        <w:rPr>
          <w:bCs/>
          <w:sz w:val="23"/>
          <w:szCs w:val="23"/>
        </w:rPr>
        <w:t xml:space="preserve">Eric Kool, Jim Ward, </w:t>
      </w:r>
      <w:r w:rsidRPr="004566F2">
        <w:rPr>
          <w:bCs/>
          <w:sz w:val="23"/>
          <w:szCs w:val="23"/>
        </w:rPr>
        <w:t>Angela Crees</w:t>
      </w:r>
      <w:r w:rsidR="004566F2" w:rsidRPr="004566F2">
        <w:rPr>
          <w:bCs/>
          <w:sz w:val="23"/>
          <w:szCs w:val="23"/>
        </w:rPr>
        <w:t>, Stephanie Swartz</w:t>
      </w:r>
      <w:r w:rsidR="0092520E" w:rsidRPr="004566F2">
        <w:rPr>
          <w:bCs/>
          <w:sz w:val="23"/>
          <w:szCs w:val="23"/>
        </w:rPr>
        <w:t xml:space="preserve"> and</w:t>
      </w:r>
      <w:r w:rsidR="00F46816" w:rsidRPr="004566F2">
        <w:rPr>
          <w:bCs/>
          <w:sz w:val="23"/>
          <w:szCs w:val="23"/>
        </w:rPr>
        <w:t xml:space="preserve"> Teresa Burke.</w:t>
      </w:r>
      <w:r w:rsidR="008C41B3" w:rsidRPr="004566F2">
        <w:rPr>
          <w:bCs/>
          <w:sz w:val="23"/>
          <w:szCs w:val="23"/>
        </w:rPr>
        <w:t xml:space="preserve">  </w:t>
      </w:r>
    </w:p>
    <w:p w:rsidR="004566F2" w:rsidRPr="004566F2" w:rsidRDefault="004566F2" w:rsidP="004566F2">
      <w:pPr>
        <w:overflowPunct w:val="0"/>
        <w:autoSpaceDE w:val="0"/>
        <w:autoSpaceDN w:val="0"/>
        <w:adjustRightInd w:val="0"/>
        <w:ind w:left="720"/>
        <w:rPr>
          <w:bCs/>
          <w:sz w:val="23"/>
          <w:szCs w:val="23"/>
        </w:rPr>
      </w:pPr>
    </w:p>
    <w:p w:rsidR="00F51C7D" w:rsidRPr="006D68D9" w:rsidRDefault="00E453E8" w:rsidP="00DF3A4C">
      <w:pPr>
        <w:numPr>
          <w:ilvl w:val="0"/>
          <w:numId w:val="1"/>
        </w:numPr>
        <w:overflowPunct w:val="0"/>
        <w:autoSpaceDE w:val="0"/>
        <w:autoSpaceDN w:val="0"/>
        <w:adjustRightInd w:val="0"/>
        <w:rPr>
          <w:bCs/>
          <w:sz w:val="23"/>
          <w:szCs w:val="23"/>
        </w:rPr>
      </w:pPr>
      <w:r w:rsidRPr="006D68D9">
        <w:rPr>
          <w:bCs/>
          <w:sz w:val="23"/>
          <w:szCs w:val="23"/>
        </w:rPr>
        <w:t xml:space="preserve">The </w:t>
      </w:r>
      <w:r w:rsidR="004566F2">
        <w:rPr>
          <w:bCs/>
          <w:sz w:val="23"/>
          <w:szCs w:val="23"/>
        </w:rPr>
        <w:t>August 8</w:t>
      </w:r>
      <w:r w:rsidR="007962A3" w:rsidRPr="006D68D9">
        <w:rPr>
          <w:bCs/>
          <w:sz w:val="23"/>
          <w:szCs w:val="23"/>
        </w:rPr>
        <w:t>, 2019</w:t>
      </w:r>
      <w:r w:rsidRPr="006D68D9">
        <w:rPr>
          <w:bCs/>
          <w:sz w:val="23"/>
          <w:szCs w:val="23"/>
        </w:rPr>
        <w:t xml:space="preserve">, minutes were reviewed.  </w:t>
      </w:r>
      <w:r w:rsidR="001E03BF" w:rsidRPr="006D68D9">
        <w:rPr>
          <w:bCs/>
          <w:sz w:val="23"/>
          <w:szCs w:val="23"/>
        </w:rPr>
        <w:t>Eric</w:t>
      </w:r>
      <w:r w:rsidRPr="006D68D9">
        <w:rPr>
          <w:bCs/>
          <w:sz w:val="23"/>
          <w:szCs w:val="23"/>
        </w:rPr>
        <w:t xml:space="preserve"> moved to approve the minutes</w:t>
      </w:r>
      <w:r w:rsidR="007962A3" w:rsidRPr="006D68D9">
        <w:rPr>
          <w:bCs/>
          <w:sz w:val="23"/>
          <w:szCs w:val="23"/>
        </w:rPr>
        <w:t xml:space="preserve"> and</w:t>
      </w:r>
      <w:r w:rsidRPr="006D68D9">
        <w:rPr>
          <w:bCs/>
          <w:sz w:val="23"/>
          <w:szCs w:val="23"/>
        </w:rPr>
        <w:t xml:space="preserve"> </w:t>
      </w:r>
      <w:r w:rsidR="004566F2">
        <w:rPr>
          <w:bCs/>
          <w:sz w:val="23"/>
          <w:szCs w:val="23"/>
        </w:rPr>
        <w:t>Stephanie</w:t>
      </w:r>
      <w:r w:rsidRPr="006D68D9">
        <w:rPr>
          <w:bCs/>
          <w:sz w:val="23"/>
          <w:szCs w:val="23"/>
        </w:rPr>
        <w:t xml:space="preserve"> seconded.  All were in favor and the motion was carried</w:t>
      </w:r>
      <w:r w:rsidR="006D68D9" w:rsidRPr="006D68D9">
        <w:rPr>
          <w:bCs/>
          <w:sz w:val="23"/>
          <w:szCs w:val="23"/>
        </w:rPr>
        <w:t xml:space="preserve"> by unanimous vote</w:t>
      </w:r>
      <w:r w:rsidRPr="006D68D9">
        <w:rPr>
          <w:bCs/>
          <w:sz w:val="23"/>
          <w:szCs w:val="23"/>
        </w:rPr>
        <w:t>.</w:t>
      </w:r>
    </w:p>
    <w:p w:rsidR="009018AC" w:rsidRPr="006D68D9" w:rsidRDefault="009018AC" w:rsidP="009018AC">
      <w:pPr>
        <w:overflowPunct w:val="0"/>
        <w:autoSpaceDE w:val="0"/>
        <w:autoSpaceDN w:val="0"/>
        <w:adjustRightInd w:val="0"/>
        <w:rPr>
          <w:bCs/>
          <w:sz w:val="23"/>
          <w:szCs w:val="23"/>
        </w:rPr>
      </w:pPr>
    </w:p>
    <w:p w:rsidR="00E66880" w:rsidRPr="004566F2" w:rsidRDefault="004566F2" w:rsidP="00E66880">
      <w:pPr>
        <w:pStyle w:val="ListParagraph"/>
        <w:numPr>
          <w:ilvl w:val="0"/>
          <w:numId w:val="1"/>
        </w:numPr>
        <w:overflowPunct w:val="0"/>
        <w:autoSpaceDE w:val="0"/>
        <w:autoSpaceDN w:val="0"/>
        <w:adjustRightInd w:val="0"/>
        <w:rPr>
          <w:bCs/>
          <w:sz w:val="23"/>
          <w:szCs w:val="23"/>
        </w:rPr>
      </w:pPr>
      <w:r w:rsidRPr="004566F2">
        <w:rPr>
          <w:bCs/>
          <w:sz w:val="23"/>
          <w:szCs w:val="23"/>
        </w:rPr>
        <w:t>The FY20 budget was reviewed</w:t>
      </w:r>
      <w:r w:rsidR="00E66880" w:rsidRPr="004566F2">
        <w:rPr>
          <w:bCs/>
          <w:sz w:val="23"/>
          <w:szCs w:val="23"/>
        </w:rPr>
        <w:t>.</w:t>
      </w:r>
      <w:r w:rsidRPr="004566F2">
        <w:rPr>
          <w:bCs/>
          <w:sz w:val="23"/>
          <w:szCs w:val="23"/>
        </w:rPr>
        <w:t xml:space="preserve">  It was noted that the FY20 Decat Allocation was added.</w:t>
      </w:r>
      <w:r w:rsidR="00E66880" w:rsidRPr="004566F2">
        <w:rPr>
          <w:bCs/>
          <w:sz w:val="23"/>
          <w:szCs w:val="23"/>
        </w:rPr>
        <w:t xml:space="preserve">  </w:t>
      </w:r>
      <w:r w:rsidRPr="004566F2">
        <w:rPr>
          <w:bCs/>
          <w:sz w:val="23"/>
          <w:szCs w:val="23"/>
        </w:rPr>
        <w:t>Chad indicated that there would be a Second Chief Designation soon.</w:t>
      </w:r>
    </w:p>
    <w:p w:rsidR="001E03BF" w:rsidRPr="006D68D9" w:rsidRDefault="001E03BF" w:rsidP="001E03BF">
      <w:pPr>
        <w:pStyle w:val="ListParagraph"/>
        <w:rPr>
          <w:bCs/>
          <w:sz w:val="23"/>
          <w:szCs w:val="23"/>
        </w:rPr>
      </w:pPr>
    </w:p>
    <w:p w:rsidR="004566F2" w:rsidRPr="004566F2" w:rsidRDefault="004566F2" w:rsidP="004566F2">
      <w:pPr>
        <w:pStyle w:val="ListParagraph"/>
        <w:numPr>
          <w:ilvl w:val="0"/>
          <w:numId w:val="1"/>
        </w:numPr>
        <w:overflowPunct w:val="0"/>
        <w:autoSpaceDE w:val="0"/>
        <w:autoSpaceDN w:val="0"/>
        <w:adjustRightInd w:val="0"/>
        <w:rPr>
          <w:bCs/>
          <w:sz w:val="23"/>
          <w:szCs w:val="23"/>
        </w:rPr>
      </w:pPr>
      <w:r w:rsidRPr="004566F2">
        <w:rPr>
          <w:bCs/>
          <w:sz w:val="23"/>
          <w:szCs w:val="23"/>
        </w:rPr>
        <w:t>Discussion and vote: Amend DCAT5-19-001, Fiscal Agent Services contract, for the following (tabled from August meeting):</w:t>
      </w:r>
    </w:p>
    <w:p w:rsidR="004566F2" w:rsidRPr="004566F2" w:rsidRDefault="004566F2" w:rsidP="004566F2">
      <w:pPr>
        <w:numPr>
          <w:ilvl w:val="1"/>
          <w:numId w:val="1"/>
        </w:numPr>
        <w:overflowPunct w:val="0"/>
        <w:autoSpaceDE w:val="0"/>
        <w:autoSpaceDN w:val="0"/>
        <w:adjustRightInd w:val="0"/>
        <w:rPr>
          <w:bCs/>
          <w:sz w:val="23"/>
          <w:szCs w:val="23"/>
        </w:rPr>
      </w:pPr>
      <w:r w:rsidRPr="004566F2">
        <w:rPr>
          <w:bCs/>
          <w:sz w:val="23"/>
          <w:szCs w:val="23"/>
        </w:rPr>
        <w:t>Add $20,000.00 in MYFI funds to cover DMACC Student Mentoring Project incentives.</w:t>
      </w:r>
    </w:p>
    <w:p w:rsidR="004566F2" w:rsidRPr="004566F2" w:rsidRDefault="004566F2" w:rsidP="004566F2">
      <w:pPr>
        <w:numPr>
          <w:ilvl w:val="1"/>
          <w:numId w:val="1"/>
        </w:numPr>
        <w:overflowPunct w:val="0"/>
        <w:autoSpaceDE w:val="0"/>
        <w:autoSpaceDN w:val="0"/>
        <w:adjustRightInd w:val="0"/>
        <w:rPr>
          <w:bCs/>
          <w:sz w:val="23"/>
          <w:szCs w:val="23"/>
        </w:rPr>
      </w:pPr>
      <w:r w:rsidRPr="004566F2">
        <w:rPr>
          <w:bCs/>
          <w:sz w:val="23"/>
          <w:szCs w:val="23"/>
        </w:rPr>
        <w:t>Add $20,000.00 in PSSF funds for transportation to PSSF-eligible services for DHS clients who meet criteria;</w:t>
      </w:r>
    </w:p>
    <w:p w:rsidR="004566F2" w:rsidRPr="004566F2" w:rsidRDefault="004566F2" w:rsidP="004566F2">
      <w:pPr>
        <w:numPr>
          <w:ilvl w:val="1"/>
          <w:numId w:val="1"/>
        </w:numPr>
        <w:overflowPunct w:val="0"/>
        <w:autoSpaceDE w:val="0"/>
        <w:autoSpaceDN w:val="0"/>
        <w:adjustRightInd w:val="0"/>
        <w:rPr>
          <w:bCs/>
          <w:sz w:val="23"/>
          <w:szCs w:val="23"/>
        </w:rPr>
      </w:pPr>
      <w:r w:rsidRPr="004566F2">
        <w:rPr>
          <w:bCs/>
          <w:sz w:val="23"/>
          <w:szCs w:val="23"/>
        </w:rPr>
        <w:t xml:space="preserve">Amend JCS, Decat and DHS State funds as follows: </w:t>
      </w:r>
    </w:p>
    <w:p w:rsidR="004566F2" w:rsidRPr="004566F2" w:rsidRDefault="004566F2" w:rsidP="004566F2">
      <w:pPr>
        <w:overflowPunct w:val="0"/>
        <w:autoSpaceDE w:val="0"/>
        <w:autoSpaceDN w:val="0"/>
        <w:adjustRightInd w:val="0"/>
        <w:rPr>
          <w:bCs/>
          <w:sz w:val="23"/>
          <w:szCs w:val="23"/>
        </w:rPr>
      </w:pPr>
    </w:p>
    <w:tbl>
      <w:tblPr>
        <w:tblStyle w:val="TableGrid"/>
        <w:tblpPr w:leftFromText="180" w:rightFromText="180" w:vertAnchor="text" w:horzAnchor="margin" w:tblpXSpec="center" w:tblpY="-252"/>
        <w:tblOverlap w:val="never"/>
        <w:tblW w:w="0" w:type="auto"/>
        <w:tblLook w:val="04A0" w:firstRow="1" w:lastRow="0" w:firstColumn="1" w:lastColumn="0" w:noHBand="0" w:noVBand="1"/>
      </w:tblPr>
      <w:tblGrid>
        <w:gridCol w:w="1270"/>
        <w:gridCol w:w="1126"/>
        <w:gridCol w:w="1119"/>
        <w:gridCol w:w="1080"/>
        <w:gridCol w:w="1430"/>
      </w:tblGrid>
      <w:tr w:rsidR="004566F2" w:rsidRPr="004566F2" w:rsidTr="00CD3A22">
        <w:tc>
          <w:tcPr>
            <w:tcW w:w="1270" w:type="dxa"/>
            <w:shd w:val="clear" w:color="auto" w:fill="CCC0D9" w:themeFill="accent4" w:themeFillTint="66"/>
          </w:tcPr>
          <w:p w:rsidR="004566F2" w:rsidRPr="004566F2" w:rsidRDefault="004566F2" w:rsidP="004566F2">
            <w:pPr>
              <w:overflowPunct w:val="0"/>
              <w:autoSpaceDE w:val="0"/>
              <w:autoSpaceDN w:val="0"/>
              <w:adjustRightInd w:val="0"/>
              <w:rPr>
                <w:bCs/>
                <w:sz w:val="23"/>
                <w:szCs w:val="23"/>
              </w:rPr>
            </w:pPr>
          </w:p>
        </w:tc>
        <w:tc>
          <w:tcPr>
            <w:tcW w:w="1126" w:type="dxa"/>
            <w:shd w:val="clear" w:color="auto" w:fill="CCC0D9" w:themeFill="accent4" w:themeFillTint="66"/>
          </w:tcPr>
          <w:p w:rsidR="004566F2" w:rsidRPr="004566F2" w:rsidRDefault="004566F2" w:rsidP="004566F2">
            <w:pPr>
              <w:overflowPunct w:val="0"/>
              <w:autoSpaceDE w:val="0"/>
              <w:autoSpaceDN w:val="0"/>
              <w:adjustRightInd w:val="0"/>
              <w:rPr>
                <w:bCs/>
                <w:sz w:val="23"/>
                <w:szCs w:val="23"/>
              </w:rPr>
            </w:pPr>
            <w:r w:rsidRPr="004566F2">
              <w:rPr>
                <w:bCs/>
                <w:sz w:val="23"/>
                <w:szCs w:val="23"/>
              </w:rPr>
              <w:t>JCS</w:t>
            </w:r>
          </w:p>
        </w:tc>
        <w:tc>
          <w:tcPr>
            <w:tcW w:w="1119" w:type="dxa"/>
            <w:shd w:val="clear" w:color="auto" w:fill="CCC0D9" w:themeFill="accent4" w:themeFillTint="66"/>
          </w:tcPr>
          <w:p w:rsidR="004566F2" w:rsidRPr="004566F2" w:rsidRDefault="004566F2" w:rsidP="004566F2">
            <w:pPr>
              <w:overflowPunct w:val="0"/>
              <w:autoSpaceDE w:val="0"/>
              <w:autoSpaceDN w:val="0"/>
              <w:adjustRightInd w:val="0"/>
              <w:rPr>
                <w:bCs/>
                <w:sz w:val="23"/>
                <w:szCs w:val="23"/>
              </w:rPr>
            </w:pPr>
            <w:r w:rsidRPr="004566F2">
              <w:rPr>
                <w:bCs/>
                <w:sz w:val="23"/>
                <w:szCs w:val="23"/>
              </w:rPr>
              <w:t>Decat</w:t>
            </w:r>
          </w:p>
        </w:tc>
        <w:tc>
          <w:tcPr>
            <w:tcW w:w="1080" w:type="dxa"/>
            <w:shd w:val="clear" w:color="auto" w:fill="CCC0D9" w:themeFill="accent4" w:themeFillTint="66"/>
          </w:tcPr>
          <w:p w:rsidR="004566F2" w:rsidRPr="004566F2" w:rsidRDefault="004566F2" w:rsidP="004566F2">
            <w:pPr>
              <w:overflowPunct w:val="0"/>
              <w:autoSpaceDE w:val="0"/>
              <w:autoSpaceDN w:val="0"/>
              <w:adjustRightInd w:val="0"/>
              <w:rPr>
                <w:bCs/>
                <w:sz w:val="23"/>
                <w:szCs w:val="23"/>
              </w:rPr>
            </w:pPr>
            <w:r w:rsidRPr="004566F2">
              <w:rPr>
                <w:bCs/>
                <w:sz w:val="23"/>
                <w:szCs w:val="23"/>
              </w:rPr>
              <w:t>DHS</w:t>
            </w:r>
          </w:p>
        </w:tc>
        <w:tc>
          <w:tcPr>
            <w:tcW w:w="1430" w:type="dxa"/>
            <w:shd w:val="clear" w:color="auto" w:fill="CCC0D9" w:themeFill="accent4" w:themeFillTint="66"/>
          </w:tcPr>
          <w:p w:rsidR="004566F2" w:rsidRPr="004566F2" w:rsidRDefault="004566F2" w:rsidP="004566F2">
            <w:pPr>
              <w:overflowPunct w:val="0"/>
              <w:autoSpaceDE w:val="0"/>
              <w:autoSpaceDN w:val="0"/>
              <w:adjustRightInd w:val="0"/>
              <w:rPr>
                <w:b/>
                <w:bCs/>
                <w:sz w:val="23"/>
                <w:szCs w:val="23"/>
              </w:rPr>
            </w:pPr>
            <w:r w:rsidRPr="004566F2">
              <w:rPr>
                <w:b/>
                <w:bCs/>
                <w:sz w:val="23"/>
                <w:szCs w:val="23"/>
              </w:rPr>
              <w:t>Total</w:t>
            </w:r>
          </w:p>
        </w:tc>
      </w:tr>
      <w:tr w:rsidR="004566F2" w:rsidRPr="004566F2" w:rsidTr="00CD3A22">
        <w:tc>
          <w:tcPr>
            <w:tcW w:w="1270" w:type="dxa"/>
          </w:tcPr>
          <w:p w:rsidR="004566F2" w:rsidRPr="004566F2" w:rsidRDefault="004566F2" w:rsidP="004566F2">
            <w:pPr>
              <w:overflowPunct w:val="0"/>
              <w:autoSpaceDE w:val="0"/>
              <w:autoSpaceDN w:val="0"/>
              <w:adjustRightInd w:val="0"/>
              <w:rPr>
                <w:b/>
                <w:bCs/>
                <w:sz w:val="23"/>
                <w:szCs w:val="23"/>
              </w:rPr>
            </w:pPr>
            <w:r w:rsidRPr="004566F2">
              <w:rPr>
                <w:b/>
                <w:bCs/>
                <w:sz w:val="23"/>
                <w:szCs w:val="23"/>
              </w:rPr>
              <w:t>Currently</w:t>
            </w:r>
          </w:p>
        </w:tc>
        <w:tc>
          <w:tcPr>
            <w:tcW w:w="1126" w:type="dxa"/>
          </w:tcPr>
          <w:p w:rsidR="004566F2" w:rsidRPr="004566F2" w:rsidRDefault="004566F2" w:rsidP="004566F2">
            <w:pPr>
              <w:overflowPunct w:val="0"/>
              <w:autoSpaceDE w:val="0"/>
              <w:autoSpaceDN w:val="0"/>
              <w:adjustRightInd w:val="0"/>
              <w:rPr>
                <w:bCs/>
                <w:sz w:val="23"/>
                <w:szCs w:val="23"/>
              </w:rPr>
            </w:pPr>
            <w:r w:rsidRPr="004566F2">
              <w:rPr>
                <w:bCs/>
                <w:sz w:val="23"/>
                <w:szCs w:val="23"/>
              </w:rPr>
              <w:t>$92,000</w:t>
            </w:r>
          </w:p>
        </w:tc>
        <w:tc>
          <w:tcPr>
            <w:tcW w:w="1119" w:type="dxa"/>
          </w:tcPr>
          <w:p w:rsidR="004566F2" w:rsidRPr="004566F2" w:rsidRDefault="004566F2" w:rsidP="004566F2">
            <w:pPr>
              <w:overflowPunct w:val="0"/>
              <w:autoSpaceDE w:val="0"/>
              <w:autoSpaceDN w:val="0"/>
              <w:adjustRightInd w:val="0"/>
              <w:rPr>
                <w:bCs/>
                <w:sz w:val="23"/>
                <w:szCs w:val="23"/>
              </w:rPr>
            </w:pPr>
            <w:r w:rsidRPr="004566F2">
              <w:rPr>
                <w:bCs/>
                <w:sz w:val="23"/>
                <w:szCs w:val="23"/>
              </w:rPr>
              <w:t>$100,000</w:t>
            </w:r>
          </w:p>
        </w:tc>
        <w:tc>
          <w:tcPr>
            <w:tcW w:w="1080" w:type="dxa"/>
          </w:tcPr>
          <w:p w:rsidR="004566F2" w:rsidRPr="004566F2" w:rsidRDefault="004566F2" w:rsidP="004566F2">
            <w:pPr>
              <w:overflowPunct w:val="0"/>
              <w:autoSpaceDE w:val="0"/>
              <w:autoSpaceDN w:val="0"/>
              <w:adjustRightInd w:val="0"/>
              <w:rPr>
                <w:bCs/>
                <w:sz w:val="23"/>
                <w:szCs w:val="23"/>
              </w:rPr>
            </w:pPr>
            <w:r w:rsidRPr="004566F2">
              <w:rPr>
                <w:bCs/>
                <w:sz w:val="23"/>
                <w:szCs w:val="23"/>
              </w:rPr>
              <w:t>$62,000</w:t>
            </w:r>
          </w:p>
        </w:tc>
        <w:tc>
          <w:tcPr>
            <w:tcW w:w="1430" w:type="dxa"/>
          </w:tcPr>
          <w:p w:rsidR="004566F2" w:rsidRPr="004566F2" w:rsidRDefault="004566F2" w:rsidP="004566F2">
            <w:pPr>
              <w:overflowPunct w:val="0"/>
              <w:autoSpaceDE w:val="0"/>
              <w:autoSpaceDN w:val="0"/>
              <w:adjustRightInd w:val="0"/>
              <w:rPr>
                <w:b/>
                <w:bCs/>
                <w:sz w:val="23"/>
                <w:szCs w:val="23"/>
              </w:rPr>
            </w:pPr>
            <w:r w:rsidRPr="004566F2">
              <w:rPr>
                <w:b/>
                <w:bCs/>
                <w:sz w:val="23"/>
                <w:szCs w:val="23"/>
              </w:rPr>
              <w:t>$254,000</w:t>
            </w:r>
          </w:p>
        </w:tc>
      </w:tr>
      <w:tr w:rsidR="004566F2" w:rsidRPr="004566F2" w:rsidTr="00CD3A22">
        <w:tc>
          <w:tcPr>
            <w:tcW w:w="1270" w:type="dxa"/>
          </w:tcPr>
          <w:p w:rsidR="004566F2" w:rsidRPr="004566F2" w:rsidRDefault="004566F2" w:rsidP="004566F2">
            <w:pPr>
              <w:overflowPunct w:val="0"/>
              <w:autoSpaceDE w:val="0"/>
              <w:autoSpaceDN w:val="0"/>
              <w:adjustRightInd w:val="0"/>
              <w:rPr>
                <w:b/>
                <w:bCs/>
                <w:sz w:val="23"/>
                <w:szCs w:val="23"/>
              </w:rPr>
            </w:pPr>
            <w:r w:rsidRPr="004566F2">
              <w:rPr>
                <w:b/>
                <w:bCs/>
                <w:sz w:val="23"/>
                <w:szCs w:val="23"/>
              </w:rPr>
              <w:t>Change to</w:t>
            </w:r>
          </w:p>
        </w:tc>
        <w:tc>
          <w:tcPr>
            <w:tcW w:w="1126" w:type="dxa"/>
          </w:tcPr>
          <w:p w:rsidR="004566F2" w:rsidRPr="004566F2" w:rsidRDefault="004566F2" w:rsidP="004566F2">
            <w:pPr>
              <w:overflowPunct w:val="0"/>
              <w:autoSpaceDE w:val="0"/>
              <w:autoSpaceDN w:val="0"/>
              <w:adjustRightInd w:val="0"/>
              <w:rPr>
                <w:bCs/>
                <w:sz w:val="23"/>
                <w:szCs w:val="23"/>
              </w:rPr>
            </w:pPr>
            <w:r w:rsidRPr="004566F2">
              <w:rPr>
                <w:bCs/>
                <w:sz w:val="23"/>
                <w:szCs w:val="23"/>
              </w:rPr>
              <w:t>$78,000</w:t>
            </w:r>
          </w:p>
        </w:tc>
        <w:tc>
          <w:tcPr>
            <w:tcW w:w="1119" w:type="dxa"/>
          </w:tcPr>
          <w:p w:rsidR="004566F2" w:rsidRPr="004566F2" w:rsidRDefault="004566F2" w:rsidP="004566F2">
            <w:pPr>
              <w:overflowPunct w:val="0"/>
              <w:autoSpaceDE w:val="0"/>
              <w:autoSpaceDN w:val="0"/>
              <w:adjustRightInd w:val="0"/>
              <w:rPr>
                <w:bCs/>
                <w:sz w:val="23"/>
                <w:szCs w:val="23"/>
              </w:rPr>
            </w:pPr>
            <w:r w:rsidRPr="004566F2">
              <w:rPr>
                <w:bCs/>
                <w:sz w:val="23"/>
                <w:szCs w:val="23"/>
              </w:rPr>
              <w:t>$87,000</w:t>
            </w:r>
          </w:p>
        </w:tc>
        <w:tc>
          <w:tcPr>
            <w:tcW w:w="1080" w:type="dxa"/>
          </w:tcPr>
          <w:p w:rsidR="004566F2" w:rsidRPr="004566F2" w:rsidRDefault="004566F2" w:rsidP="004566F2">
            <w:pPr>
              <w:overflowPunct w:val="0"/>
              <w:autoSpaceDE w:val="0"/>
              <w:autoSpaceDN w:val="0"/>
              <w:adjustRightInd w:val="0"/>
              <w:rPr>
                <w:bCs/>
                <w:sz w:val="23"/>
                <w:szCs w:val="23"/>
              </w:rPr>
            </w:pPr>
            <w:r w:rsidRPr="004566F2">
              <w:rPr>
                <w:bCs/>
                <w:sz w:val="23"/>
                <w:szCs w:val="23"/>
              </w:rPr>
              <w:t>$82,000</w:t>
            </w:r>
          </w:p>
        </w:tc>
        <w:tc>
          <w:tcPr>
            <w:tcW w:w="1430" w:type="dxa"/>
          </w:tcPr>
          <w:p w:rsidR="004566F2" w:rsidRPr="004566F2" w:rsidRDefault="004566F2" w:rsidP="004566F2">
            <w:pPr>
              <w:overflowPunct w:val="0"/>
              <w:autoSpaceDE w:val="0"/>
              <w:autoSpaceDN w:val="0"/>
              <w:adjustRightInd w:val="0"/>
              <w:rPr>
                <w:b/>
                <w:bCs/>
                <w:sz w:val="23"/>
                <w:szCs w:val="23"/>
              </w:rPr>
            </w:pPr>
            <w:r w:rsidRPr="004566F2">
              <w:rPr>
                <w:b/>
                <w:bCs/>
                <w:sz w:val="23"/>
                <w:szCs w:val="23"/>
              </w:rPr>
              <w:t>$247,000</w:t>
            </w:r>
          </w:p>
        </w:tc>
      </w:tr>
    </w:tbl>
    <w:p w:rsidR="004566F2" w:rsidRPr="004566F2" w:rsidRDefault="004566F2" w:rsidP="004566F2">
      <w:pPr>
        <w:numPr>
          <w:ilvl w:val="1"/>
          <w:numId w:val="1"/>
        </w:numPr>
        <w:overflowPunct w:val="0"/>
        <w:autoSpaceDE w:val="0"/>
        <w:autoSpaceDN w:val="0"/>
        <w:adjustRightInd w:val="0"/>
        <w:rPr>
          <w:bCs/>
          <w:sz w:val="23"/>
          <w:szCs w:val="23"/>
        </w:rPr>
      </w:pPr>
      <w:r w:rsidRPr="004566F2">
        <w:rPr>
          <w:bCs/>
          <w:sz w:val="23"/>
          <w:szCs w:val="23"/>
        </w:rPr>
        <w:t>Overall contract increase from $262,000.00 to $295,000.00</w:t>
      </w:r>
    </w:p>
    <w:p w:rsidR="004566F2" w:rsidRDefault="004566F2" w:rsidP="004566F2">
      <w:pPr>
        <w:numPr>
          <w:ilvl w:val="1"/>
          <w:numId w:val="1"/>
        </w:numPr>
        <w:overflowPunct w:val="0"/>
        <w:autoSpaceDE w:val="0"/>
        <w:autoSpaceDN w:val="0"/>
        <w:adjustRightInd w:val="0"/>
        <w:rPr>
          <w:bCs/>
          <w:sz w:val="23"/>
          <w:szCs w:val="23"/>
        </w:rPr>
      </w:pPr>
      <w:r w:rsidRPr="004566F2">
        <w:rPr>
          <w:bCs/>
          <w:sz w:val="23"/>
          <w:szCs w:val="23"/>
        </w:rPr>
        <w:t>Review Amendment, PCQ and Director’s Sign-off Forms for approval</w:t>
      </w:r>
    </w:p>
    <w:p w:rsidR="004566F2" w:rsidRDefault="004566F2" w:rsidP="004566F2">
      <w:pPr>
        <w:overflowPunct w:val="0"/>
        <w:autoSpaceDE w:val="0"/>
        <w:autoSpaceDN w:val="0"/>
        <w:adjustRightInd w:val="0"/>
        <w:ind w:left="1440"/>
        <w:rPr>
          <w:bCs/>
          <w:sz w:val="23"/>
          <w:szCs w:val="23"/>
        </w:rPr>
      </w:pPr>
    </w:p>
    <w:p w:rsidR="004566F2" w:rsidRDefault="004566F2" w:rsidP="004566F2">
      <w:pPr>
        <w:overflowPunct w:val="0"/>
        <w:autoSpaceDE w:val="0"/>
        <w:autoSpaceDN w:val="0"/>
        <w:adjustRightInd w:val="0"/>
        <w:ind w:left="1440"/>
        <w:rPr>
          <w:bCs/>
          <w:sz w:val="23"/>
          <w:szCs w:val="23"/>
        </w:rPr>
      </w:pPr>
      <w:r>
        <w:rPr>
          <w:bCs/>
          <w:sz w:val="23"/>
          <w:szCs w:val="23"/>
        </w:rPr>
        <w:t>Teresa pointed out that, although state funds were not reduced proportionate to the addition of the PSSF funds, only state funds would be used for the “Fiscal Agent Fee” portion of each month’s expenditures, regardless of the type of funds used for disbursements.</w:t>
      </w:r>
    </w:p>
    <w:p w:rsidR="004566F2" w:rsidRDefault="004566F2" w:rsidP="004566F2">
      <w:pPr>
        <w:overflowPunct w:val="0"/>
        <w:autoSpaceDE w:val="0"/>
        <w:autoSpaceDN w:val="0"/>
        <w:adjustRightInd w:val="0"/>
        <w:ind w:left="1440"/>
        <w:rPr>
          <w:bCs/>
          <w:sz w:val="23"/>
          <w:szCs w:val="23"/>
        </w:rPr>
      </w:pPr>
    </w:p>
    <w:p w:rsidR="004566F2" w:rsidRPr="004566F2" w:rsidRDefault="004566F2" w:rsidP="004566F2">
      <w:pPr>
        <w:overflowPunct w:val="0"/>
        <w:autoSpaceDE w:val="0"/>
        <w:autoSpaceDN w:val="0"/>
        <w:adjustRightInd w:val="0"/>
        <w:ind w:left="1440"/>
        <w:rPr>
          <w:bCs/>
          <w:sz w:val="23"/>
          <w:szCs w:val="23"/>
        </w:rPr>
      </w:pPr>
      <w:r>
        <w:rPr>
          <w:bCs/>
          <w:sz w:val="23"/>
          <w:szCs w:val="23"/>
        </w:rPr>
        <w:t>Angie moved to make the noted changes to DCAT5-19-001 and approve the amendment.  Chad seconded and the motion was carried by unanimous vote.</w:t>
      </w:r>
    </w:p>
    <w:p w:rsidR="00433877" w:rsidRPr="006D68D9" w:rsidRDefault="00433877" w:rsidP="00433877">
      <w:pPr>
        <w:overflowPunct w:val="0"/>
        <w:autoSpaceDE w:val="0"/>
        <w:autoSpaceDN w:val="0"/>
        <w:adjustRightInd w:val="0"/>
        <w:rPr>
          <w:bCs/>
          <w:sz w:val="23"/>
          <w:szCs w:val="23"/>
        </w:rPr>
      </w:pPr>
    </w:p>
    <w:p w:rsidR="00EE70B4" w:rsidRDefault="004566F2" w:rsidP="004566F2">
      <w:pPr>
        <w:pStyle w:val="ListParagraph"/>
        <w:numPr>
          <w:ilvl w:val="0"/>
          <w:numId w:val="1"/>
        </w:numPr>
        <w:rPr>
          <w:bCs/>
          <w:sz w:val="23"/>
          <w:szCs w:val="23"/>
        </w:rPr>
      </w:pPr>
      <w:r>
        <w:rPr>
          <w:bCs/>
          <w:sz w:val="23"/>
          <w:szCs w:val="23"/>
        </w:rPr>
        <w:t xml:space="preserve">Discussion and vote: Review and approve FY20 Polk Decategorization Annual Service Plan.  </w:t>
      </w:r>
      <w:r w:rsidR="00A23165">
        <w:rPr>
          <w:bCs/>
          <w:sz w:val="23"/>
          <w:szCs w:val="23"/>
        </w:rPr>
        <w:t>The board noted the highlights of the FY20 Annual Plan.  Matt moved to approve the Plan as presented (no changes).  Eric seconded and the motion was carried by unanimous vote.</w:t>
      </w:r>
    </w:p>
    <w:p w:rsidR="00A23165" w:rsidRDefault="00A23165" w:rsidP="00A23165">
      <w:pPr>
        <w:rPr>
          <w:bCs/>
          <w:sz w:val="23"/>
          <w:szCs w:val="23"/>
        </w:rPr>
      </w:pPr>
    </w:p>
    <w:p w:rsidR="00A23165" w:rsidRDefault="00A23165" w:rsidP="00A23165">
      <w:pPr>
        <w:pStyle w:val="ListParagraph"/>
        <w:numPr>
          <w:ilvl w:val="0"/>
          <w:numId w:val="1"/>
        </w:numPr>
        <w:rPr>
          <w:bCs/>
          <w:sz w:val="23"/>
          <w:szCs w:val="23"/>
        </w:rPr>
      </w:pPr>
      <w:r>
        <w:rPr>
          <w:bCs/>
          <w:sz w:val="23"/>
          <w:szCs w:val="23"/>
        </w:rPr>
        <w:lastRenderedPageBreak/>
        <w:t xml:space="preserve">Discussion and vote: Enter into new contract with Public Policy Associates for new service, “Individual Assessments for Organizational Development” for $4,900.00.  </w:t>
      </w:r>
    </w:p>
    <w:p w:rsidR="00A23165" w:rsidRDefault="00A23165" w:rsidP="00A23165">
      <w:pPr>
        <w:pStyle w:val="ListParagraph"/>
        <w:numPr>
          <w:ilvl w:val="1"/>
          <w:numId w:val="1"/>
        </w:numPr>
        <w:rPr>
          <w:bCs/>
          <w:sz w:val="23"/>
          <w:szCs w:val="23"/>
        </w:rPr>
      </w:pPr>
      <w:r>
        <w:rPr>
          <w:bCs/>
          <w:sz w:val="23"/>
          <w:szCs w:val="23"/>
        </w:rPr>
        <w:t>Chad updated the Board on the need for conducting one-on-one assessments as a follow-up to the Climate Survey.  JCOs would volunteer for the individual phone interviews and, if more signed up than slots available, the contractor would randomly select those who they would interview from the volunteer pool.  The new contract would allow for 15 interviews, which is approximately one quarter of total staff for the JCS 5</w:t>
      </w:r>
      <w:r w:rsidRPr="00A23165">
        <w:rPr>
          <w:bCs/>
          <w:sz w:val="23"/>
          <w:szCs w:val="23"/>
          <w:vertAlign w:val="superscript"/>
        </w:rPr>
        <w:t>th</w:t>
      </w:r>
      <w:r>
        <w:rPr>
          <w:bCs/>
          <w:sz w:val="23"/>
          <w:szCs w:val="23"/>
        </w:rPr>
        <w:t xml:space="preserve"> District.</w:t>
      </w:r>
    </w:p>
    <w:p w:rsidR="00A23165" w:rsidRDefault="00A23165" w:rsidP="00A23165">
      <w:pPr>
        <w:pStyle w:val="ListParagraph"/>
        <w:numPr>
          <w:ilvl w:val="1"/>
          <w:numId w:val="1"/>
        </w:numPr>
        <w:rPr>
          <w:bCs/>
          <w:sz w:val="23"/>
          <w:szCs w:val="23"/>
        </w:rPr>
      </w:pPr>
      <w:r>
        <w:rPr>
          <w:bCs/>
          <w:sz w:val="23"/>
          <w:szCs w:val="23"/>
        </w:rPr>
        <w:t xml:space="preserve">Teresa confirmed that this is a new service, apart from the original Climate Survey, as that contract did not include the provision of individual assessments, or interviews.  Because the cost of the service could be provided for under $5,000.00, </w:t>
      </w:r>
      <w:proofErr w:type="gramStart"/>
      <w:r>
        <w:rPr>
          <w:bCs/>
          <w:sz w:val="23"/>
          <w:szCs w:val="23"/>
        </w:rPr>
        <w:t>a procurement</w:t>
      </w:r>
      <w:proofErr w:type="gramEnd"/>
      <w:r>
        <w:rPr>
          <w:bCs/>
          <w:sz w:val="23"/>
          <w:szCs w:val="23"/>
        </w:rPr>
        <w:t xml:space="preserve"> was not required.</w:t>
      </w:r>
    </w:p>
    <w:p w:rsidR="00A23165" w:rsidRPr="00A23165" w:rsidRDefault="00A23165" w:rsidP="00A23165">
      <w:pPr>
        <w:pStyle w:val="ListParagraph"/>
        <w:numPr>
          <w:ilvl w:val="1"/>
          <w:numId w:val="1"/>
        </w:numPr>
        <w:rPr>
          <w:bCs/>
          <w:sz w:val="23"/>
          <w:szCs w:val="23"/>
        </w:rPr>
      </w:pPr>
      <w:r>
        <w:rPr>
          <w:bCs/>
          <w:sz w:val="23"/>
          <w:szCs w:val="23"/>
        </w:rPr>
        <w:t>Eric moved to enter into a new contract with Public Policy Associates and Matt seconded.  The motion was carried by unanimous vote.</w:t>
      </w:r>
    </w:p>
    <w:p w:rsidR="00A23165" w:rsidRDefault="00A23165" w:rsidP="00A23165">
      <w:pPr>
        <w:rPr>
          <w:bCs/>
          <w:sz w:val="23"/>
          <w:szCs w:val="23"/>
        </w:rPr>
      </w:pPr>
    </w:p>
    <w:p w:rsidR="00A23165" w:rsidRDefault="00A23165" w:rsidP="00A23165">
      <w:pPr>
        <w:pStyle w:val="ListParagraph"/>
        <w:numPr>
          <w:ilvl w:val="0"/>
          <w:numId w:val="1"/>
        </w:numPr>
        <w:rPr>
          <w:bCs/>
          <w:sz w:val="23"/>
          <w:szCs w:val="23"/>
        </w:rPr>
      </w:pPr>
      <w:r>
        <w:rPr>
          <w:bCs/>
          <w:sz w:val="23"/>
          <w:szCs w:val="23"/>
        </w:rPr>
        <w:t xml:space="preserve">Teresa provided an overview of the final FY19 quarterly performance reports.   Highlights were noted.  Chad was concerned that the SAAF classes under DCAT5-17-040 (now provided under DCAT5-20-060) were not as well marketed since Johnathan Douglas moved on from Evelyn K. Davis Center.  Teresa will mention that to Marvin </w:t>
      </w:r>
      <w:proofErr w:type="spellStart"/>
      <w:r>
        <w:rPr>
          <w:bCs/>
          <w:sz w:val="23"/>
          <w:szCs w:val="23"/>
        </w:rPr>
        <w:t>DeJear</w:t>
      </w:r>
      <w:proofErr w:type="spellEnd"/>
      <w:r>
        <w:rPr>
          <w:bCs/>
          <w:sz w:val="23"/>
          <w:szCs w:val="23"/>
        </w:rPr>
        <w:t>.</w:t>
      </w:r>
    </w:p>
    <w:p w:rsidR="00A23165" w:rsidRDefault="00A23165" w:rsidP="00A23165">
      <w:pPr>
        <w:pStyle w:val="ListParagraph"/>
        <w:rPr>
          <w:bCs/>
          <w:sz w:val="23"/>
          <w:szCs w:val="23"/>
        </w:rPr>
      </w:pPr>
    </w:p>
    <w:p w:rsidR="00A23165" w:rsidRDefault="00A23165" w:rsidP="005F3822">
      <w:pPr>
        <w:pStyle w:val="ListParagraph"/>
        <w:rPr>
          <w:bCs/>
          <w:sz w:val="23"/>
          <w:szCs w:val="23"/>
        </w:rPr>
      </w:pPr>
      <w:r>
        <w:rPr>
          <w:bCs/>
          <w:sz w:val="23"/>
          <w:szCs w:val="23"/>
        </w:rPr>
        <w:t xml:space="preserve">Teresa also noted that, in the next Board meeting, she will cover the on-site monitoring conducted with Woodward for the DCAT5-16-001 (Sex Offender Treatment) and DCAT5-16-002 (Re-entry and Transition Youth Services) contracts.  Concern was expressed regarding the </w:t>
      </w:r>
      <w:r w:rsidR="005F3822">
        <w:rPr>
          <w:bCs/>
          <w:sz w:val="23"/>
          <w:szCs w:val="23"/>
        </w:rPr>
        <w:t>use of employee time in relation to Decat reimbursing at full-time status.  In essence, the work was being done, but there is some question if the work being reimbursed actually takes 40 hours per week.  The Board acknowledged that this could be difficult to verify, but that the Contractor should be cautioned.</w:t>
      </w:r>
    </w:p>
    <w:p w:rsidR="005F3822" w:rsidRDefault="005F3822" w:rsidP="005F3822">
      <w:pPr>
        <w:pStyle w:val="ListParagraph"/>
        <w:rPr>
          <w:bCs/>
          <w:sz w:val="23"/>
          <w:szCs w:val="23"/>
        </w:rPr>
      </w:pPr>
    </w:p>
    <w:p w:rsidR="005F3822" w:rsidRDefault="005F3822" w:rsidP="005F3822">
      <w:pPr>
        <w:pStyle w:val="ListParagraph"/>
        <w:numPr>
          <w:ilvl w:val="0"/>
          <w:numId w:val="1"/>
        </w:numPr>
        <w:rPr>
          <w:bCs/>
          <w:sz w:val="23"/>
          <w:szCs w:val="23"/>
        </w:rPr>
      </w:pPr>
      <w:r>
        <w:rPr>
          <w:bCs/>
          <w:sz w:val="23"/>
          <w:szCs w:val="23"/>
        </w:rPr>
        <w:t xml:space="preserve">Review and discuss: </w:t>
      </w:r>
      <w:proofErr w:type="spellStart"/>
      <w:r>
        <w:rPr>
          <w:bCs/>
          <w:sz w:val="23"/>
          <w:szCs w:val="23"/>
        </w:rPr>
        <w:t>CarePortal</w:t>
      </w:r>
      <w:proofErr w:type="spellEnd"/>
      <w:r>
        <w:rPr>
          <w:bCs/>
          <w:sz w:val="23"/>
          <w:szCs w:val="23"/>
        </w:rPr>
        <w:t xml:space="preserve"> feedback.  Mark Whiting, who approached Teresa about the </w:t>
      </w:r>
      <w:proofErr w:type="spellStart"/>
      <w:r>
        <w:rPr>
          <w:bCs/>
          <w:sz w:val="23"/>
          <w:szCs w:val="23"/>
        </w:rPr>
        <w:t>CarePortal</w:t>
      </w:r>
      <w:proofErr w:type="spellEnd"/>
      <w:r>
        <w:rPr>
          <w:bCs/>
          <w:sz w:val="23"/>
          <w:szCs w:val="23"/>
        </w:rPr>
        <w:t xml:space="preserve"> project, responded to the Board’s suggestion that the Coalition of churches participating in the </w:t>
      </w:r>
      <w:proofErr w:type="spellStart"/>
      <w:r>
        <w:rPr>
          <w:bCs/>
          <w:sz w:val="23"/>
          <w:szCs w:val="23"/>
        </w:rPr>
        <w:t>CarePortal</w:t>
      </w:r>
      <w:proofErr w:type="spellEnd"/>
      <w:r>
        <w:rPr>
          <w:bCs/>
          <w:sz w:val="23"/>
          <w:szCs w:val="23"/>
        </w:rPr>
        <w:t xml:space="preserve"> project provide the first year’s $10,000.00 required annual investment for the management of the service.  Mark was not in favor of this option as the Global Orphan Project has covered the vast majority of the costs, which were not outlined in the response.</w:t>
      </w:r>
    </w:p>
    <w:p w:rsidR="005F3822" w:rsidRDefault="005F3822" w:rsidP="001E1451">
      <w:pPr>
        <w:pStyle w:val="ListParagraph"/>
        <w:numPr>
          <w:ilvl w:val="0"/>
          <w:numId w:val="8"/>
        </w:numPr>
        <w:rPr>
          <w:bCs/>
          <w:sz w:val="23"/>
          <w:szCs w:val="23"/>
        </w:rPr>
      </w:pPr>
      <w:r>
        <w:rPr>
          <w:bCs/>
          <w:sz w:val="23"/>
          <w:szCs w:val="23"/>
        </w:rPr>
        <w:t xml:space="preserve">Their economic arrangement calls for a three way split, one third covered by the Global Orphan Project, the implementing partner (The New Life Center as lead for the coalition of churches) and the requesting agency.  It </w:t>
      </w:r>
      <w:r w:rsidR="006924DC">
        <w:rPr>
          <w:bCs/>
          <w:sz w:val="23"/>
          <w:szCs w:val="23"/>
        </w:rPr>
        <w:t xml:space="preserve">was noted that they requested our involvement and, therefore, we are not technically the “requestor”.  </w:t>
      </w:r>
    </w:p>
    <w:p w:rsidR="006924DC" w:rsidRDefault="006924DC" w:rsidP="001E1451">
      <w:pPr>
        <w:pStyle w:val="ListParagraph"/>
        <w:numPr>
          <w:ilvl w:val="0"/>
          <w:numId w:val="8"/>
        </w:numPr>
        <w:rPr>
          <w:bCs/>
          <w:sz w:val="23"/>
          <w:szCs w:val="23"/>
        </w:rPr>
      </w:pPr>
      <w:r>
        <w:rPr>
          <w:bCs/>
          <w:sz w:val="23"/>
          <w:szCs w:val="23"/>
        </w:rPr>
        <w:t xml:space="preserve">The Board also was not satisfied with the response that no HIPAA information would be shared as Mark indicated that each church able to fulfill the individual need would need to be provided information on the family receiving the concrete support(s).  </w:t>
      </w:r>
    </w:p>
    <w:p w:rsidR="006924DC" w:rsidRDefault="006924DC" w:rsidP="001E1451">
      <w:pPr>
        <w:pStyle w:val="ListParagraph"/>
        <w:numPr>
          <w:ilvl w:val="0"/>
          <w:numId w:val="8"/>
        </w:numPr>
        <w:rPr>
          <w:bCs/>
          <w:sz w:val="23"/>
          <w:szCs w:val="23"/>
        </w:rPr>
      </w:pPr>
      <w:bookmarkStart w:id="0" w:name="_GoBack"/>
      <w:bookmarkEnd w:id="0"/>
      <w:r>
        <w:rPr>
          <w:bCs/>
          <w:sz w:val="23"/>
          <w:szCs w:val="23"/>
        </w:rPr>
        <w:t xml:space="preserve">The Board did not wish to participate in the </w:t>
      </w:r>
      <w:proofErr w:type="spellStart"/>
      <w:r>
        <w:rPr>
          <w:bCs/>
          <w:sz w:val="23"/>
          <w:szCs w:val="23"/>
        </w:rPr>
        <w:t>CarePortal</w:t>
      </w:r>
      <w:proofErr w:type="spellEnd"/>
      <w:r>
        <w:rPr>
          <w:bCs/>
          <w:sz w:val="23"/>
          <w:szCs w:val="23"/>
        </w:rPr>
        <w:t xml:space="preserve"> service at this time.  Matt noted that we could possibly enter into our own agreement with individual churches in the area and we could possibly pursue that line of thought.</w:t>
      </w:r>
    </w:p>
    <w:p w:rsidR="006924DC" w:rsidRDefault="006924DC" w:rsidP="005F3822">
      <w:pPr>
        <w:pStyle w:val="ListParagraph"/>
        <w:rPr>
          <w:bCs/>
          <w:sz w:val="23"/>
          <w:szCs w:val="23"/>
        </w:rPr>
      </w:pPr>
    </w:p>
    <w:p w:rsidR="006924DC" w:rsidRDefault="006924DC" w:rsidP="006924DC">
      <w:pPr>
        <w:numPr>
          <w:ilvl w:val="0"/>
          <w:numId w:val="1"/>
        </w:numPr>
        <w:rPr>
          <w:sz w:val="22"/>
          <w:szCs w:val="22"/>
        </w:rPr>
      </w:pPr>
      <w:r>
        <w:rPr>
          <w:sz w:val="22"/>
          <w:szCs w:val="22"/>
        </w:rPr>
        <w:t>Review and discuss: DCAT5-15-007, Refugee Immigrant Guide contract ending on June 30, 2020.  Does the Board want to re-procure these services?  What information should the Board review for re-procurement consideration?</w:t>
      </w:r>
    </w:p>
    <w:p w:rsidR="006924DC" w:rsidRDefault="006924DC" w:rsidP="001E1451">
      <w:pPr>
        <w:pStyle w:val="ListParagraph"/>
        <w:numPr>
          <w:ilvl w:val="0"/>
          <w:numId w:val="6"/>
        </w:numPr>
        <w:rPr>
          <w:bCs/>
          <w:sz w:val="23"/>
          <w:szCs w:val="23"/>
        </w:rPr>
      </w:pPr>
      <w:r>
        <w:rPr>
          <w:bCs/>
          <w:sz w:val="23"/>
          <w:szCs w:val="23"/>
        </w:rPr>
        <w:t xml:space="preserve">The Board would like to have for consideration of re-procurement the following: </w:t>
      </w:r>
    </w:p>
    <w:p w:rsidR="006924DC" w:rsidRDefault="006924DC" w:rsidP="001E1451">
      <w:pPr>
        <w:pStyle w:val="ListParagraph"/>
        <w:numPr>
          <w:ilvl w:val="1"/>
          <w:numId w:val="7"/>
        </w:numPr>
        <w:rPr>
          <w:bCs/>
          <w:sz w:val="23"/>
          <w:szCs w:val="23"/>
        </w:rPr>
      </w:pPr>
      <w:r>
        <w:rPr>
          <w:bCs/>
          <w:sz w:val="23"/>
          <w:szCs w:val="23"/>
        </w:rPr>
        <w:t>How many served?</w:t>
      </w:r>
    </w:p>
    <w:p w:rsidR="006924DC" w:rsidRDefault="006924DC" w:rsidP="001E1451">
      <w:pPr>
        <w:pStyle w:val="ListParagraph"/>
        <w:numPr>
          <w:ilvl w:val="1"/>
          <w:numId w:val="7"/>
        </w:numPr>
        <w:rPr>
          <w:bCs/>
          <w:sz w:val="23"/>
          <w:szCs w:val="23"/>
        </w:rPr>
      </w:pPr>
      <w:r>
        <w:rPr>
          <w:bCs/>
          <w:sz w:val="23"/>
          <w:szCs w:val="23"/>
        </w:rPr>
        <w:t>Did any families/youth not get served because an interpreter was not available for a specific language?</w:t>
      </w:r>
    </w:p>
    <w:p w:rsidR="006924DC" w:rsidRDefault="006924DC" w:rsidP="001E1451">
      <w:pPr>
        <w:pStyle w:val="ListParagraph"/>
        <w:numPr>
          <w:ilvl w:val="1"/>
          <w:numId w:val="7"/>
        </w:numPr>
        <w:rPr>
          <w:bCs/>
          <w:sz w:val="23"/>
          <w:szCs w:val="23"/>
        </w:rPr>
      </w:pPr>
      <w:r>
        <w:rPr>
          <w:bCs/>
          <w:sz w:val="23"/>
          <w:szCs w:val="23"/>
        </w:rPr>
        <w:t>Could contractor survey families served to determine if they had feedback on the RIGs?</w:t>
      </w:r>
    </w:p>
    <w:p w:rsidR="006924DC" w:rsidRDefault="006924DC" w:rsidP="001E1451">
      <w:pPr>
        <w:pStyle w:val="ListParagraph"/>
        <w:numPr>
          <w:ilvl w:val="1"/>
          <w:numId w:val="7"/>
        </w:numPr>
        <w:rPr>
          <w:bCs/>
          <w:sz w:val="23"/>
          <w:szCs w:val="23"/>
        </w:rPr>
      </w:pPr>
      <w:r>
        <w:rPr>
          <w:bCs/>
          <w:sz w:val="23"/>
          <w:szCs w:val="23"/>
        </w:rPr>
        <w:lastRenderedPageBreak/>
        <w:t xml:space="preserve">Survey staff </w:t>
      </w:r>
      <w:proofErr w:type="gramStart"/>
      <w:r>
        <w:rPr>
          <w:bCs/>
          <w:sz w:val="23"/>
          <w:szCs w:val="23"/>
        </w:rPr>
        <w:t>who</w:t>
      </w:r>
      <w:proofErr w:type="gramEnd"/>
      <w:r>
        <w:rPr>
          <w:bCs/>
          <w:sz w:val="23"/>
          <w:szCs w:val="23"/>
        </w:rPr>
        <w:t xml:space="preserve"> used RIGs on what worked, what did not worked, what could be improved and is the service worth retaining?</w:t>
      </w:r>
    </w:p>
    <w:p w:rsidR="006924DC" w:rsidRDefault="006924DC" w:rsidP="001E1451">
      <w:pPr>
        <w:pStyle w:val="ListParagraph"/>
        <w:numPr>
          <w:ilvl w:val="0"/>
          <w:numId w:val="6"/>
        </w:numPr>
        <w:rPr>
          <w:bCs/>
          <w:sz w:val="23"/>
          <w:szCs w:val="23"/>
        </w:rPr>
      </w:pPr>
      <w:r>
        <w:rPr>
          <w:bCs/>
          <w:sz w:val="23"/>
          <w:szCs w:val="23"/>
        </w:rPr>
        <w:t xml:space="preserve">The Board also wondered if we could better collaborate with DMPS on our common issues with at risk refugee kids and families.  Stephanie suggested that </w:t>
      </w:r>
      <w:proofErr w:type="gramStart"/>
      <w:r>
        <w:rPr>
          <w:bCs/>
          <w:sz w:val="23"/>
          <w:szCs w:val="23"/>
        </w:rPr>
        <w:t>a DMPD</w:t>
      </w:r>
      <w:proofErr w:type="gramEnd"/>
      <w:r>
        <w:rPr>
          <w:bCs/>
          <w:sz w:val="23"/>
          <w:szCs w:val="23"/>
        </w:rPr>
        <w:t xml:space="preserve"> 101 training be added to the roster of RIG trainings.</w:t>
      </w:r>
    </w:p>
    <w:p w:rsidR="006924DC" w:rsidRDefault="006924DC" w:rsidP="001E1451">
      <w:pPr>
        <w:pStyle w:val="ListParagraph"/>
        <w:numPr>
          <w:ilvl w:val="0"/>
          <w:numId w:val="6"/>
        </w:numPr>
        <w:rPr>
          <w:bCs/>
          <w:sz w:val="23"/>
          <w:szCs w:val="23"/>
        </w:rPr>
      </w:pPr>
      <w:r>
        <w:rPr>
          <w:bCs/>
          <w:sz w:val="23"/>
          <w:szCs w:val="23"/>
        </w:rPr>
        <w:t>Some of this information could be available for the next Board meeting for review.</w:t>
      </w:r>
    </w:p>
    <w:p w:rsidR="006924DC" w:rsidRDefault="006924DC" w:rsidP="006924DC">
      <w:pPr>
        <w:pStyle w:val="ListParagraph"/>
        <w:rPr>
          <w:bCs/>
          <w:sz w:val="23"/>
          <w:szCs w:val="23"/>
        </w:rPr>
      </w:pPr>
    </w:p>
    <w:p w:rsidR="006924DC" w:rsidRDefault="006924DC" w:rsidP="006924DC">
      <w:pPr>
        <w:pStyle w:val="ListParagraph"/>
        <w:numPr>
          <w:ilvl w:val="0"/>
          <w:numId w:val="1"/>
        </w:numPr>
        <w:rPr>
          <w:bCs/>
          <w:sz w:val="23"/>
          <w:szCs w:val="23"/>
        </w:rPr>
      </w:pPr>
      <w:r>
        <w:rPr>
          <w:bCs/>
          <w:sz w:val="23"/>
          <w:szCs w:val="23"/>
        </w:rPr>
        <w:t xml:space="preserve"> </w:t>
      </w:r>
      <w:r w:rsidR="00A712DB">
        <w:rPr>
          <w:bCs/>
          <w:sz w:val="23"/>
          <w:szCs w:val="23"/>
        </w:rPr>
        <w:t>ICAPP (Iowa Child Abuse Prevention Program) Review and Update</w:t>
      </w:r>
    </w:p>
    <w:p w:rsidR="00A712DB" w:rsidRDefault="00A712DB" w:rsidP="00A712DB">
      <w:pPr>
        <w:pStyle w:val="ListParagraph"/>
        <w:numPr>
          <w:ilvl w:val="1"/>
          <w:numId w:val="1"/>
        </w:numPr>
        <w:rPr>
          <w:bCs/>
          <w:sz w:val="23"/>
          <w:szCs w:val="23"/>
        </w:rPr>
      </w:pPr>
      <w:r>
        <w:rPr>
          <w:bCs/>
          <w:sz w:val="23"/>
          <w:szCs w:val="23"/>
        </w:rPr>
        <w:t xml:space="preserve">Teresa provided some history as well as the current focus and contract for the ICAPP funds that “funnel” through the Polk Decat CPPC coalition.  The Polk CPPC is not a legal entity and, for the purposes of being able to offer these funds to the community, the CPPC Shared Decision Making Team, or in this case the Polk Decat Steering Committee which serves this function, must select a legal entity that will be able to bid for a service or services and act on behalf of the Community Partnership.  The current Polk ICAPP contract is with YESS for Emergency Respite Care for </w:t>
      </w:r>
      <w:proofErr w:type="spellStart"/>
      <w:r>
        <w:rPr>
          <w:bCs/>
          <w:sz w:val="23"/>
          <w:szCs w:val="23"/>
        </w:rPr>
        <w:t>non system</w:t>
      </w:r>
      <w:proofErr w:type="spellEnd"/>
      <w:r>
        <w:rPr>
          <w:bCs/>
          <w:sz w:val="23"/>
          <w:szCs w:val="23"/>
        </w:rPr>
        <w:t xml:space="preserve"> youth and which is required to offer </w:t>
      </w:r>
      <w:proofErr w:type="spellStart"/>
      <w:r>
        <w:rPr>
          <w:bCs/>
          <w:sz w:val="23"/>
          <w:szCs w:val="23"/>
        </w:rPr>
        <w:t>anciliary</w:t>
      </w:r>
      <w:proofErr w:type="spellEnd"/>
      <w:r>
        <w:rPr>
          <w:bCs/>
          <w:sz w:val="23"/>
          <w:szCs w:val="23"/>
        </w:rPr>
        <w:t xml:space="preserve"> services to assist families to better address behaviors and/or mental health needs precipitating the emergency respite services.</w:t>
      </w:r>
    </w:p>
    <w:p w:rsidR="00A712DB" w:rsidRDefault="00A712DB" w:rsidP="00A712DB">
      <w:pPr>
        <w:pStyle w:val="ListParagraph"/>
        <w:numPr>
          <w:ilvl w:val="1"/>
          <w:numId w:val="1"/>
        </w:numPr>
        <w:rPr>
          <w:bCs/>
          <w:sz w:val="23"/>
          <w:szCs w:val="23"/>
        </w:rPr>
      </w:pPr>
      <w:r>
        <w:rPr>
          <w:bCs/>
          <w:sz w:val="23"/>
          <w:szCs w:val="23"/>
        </w:rPr>
        <w:t>Teresa presented the MOU that the Steering Committee Chair (Stephanie) is to sign in order to first establish that the Polk CPPC and not the Polk Child Abuse Prevention Council (of which there is none) would be the entity applying for the dollars.  Teresa noted that each CPPC and Prevention Council area of the state needs to make the choice over which entity will be the conduit for the ICAPP funds.</w:t>
      </w:r>
    </w:p>
    <w:p w:rsidR="00A712DB" w:rsidRDefault="00A712DB" w:rsidP="00A712DB">
      <w:pPr>
        <w:pStyle w:val="ListParagraph"/>
        <w:numPr>
          <w:ilvl w:val="1"/>
          <w:numId w:val="1"/>
        </w:numPr>
        <w:rPr>
          <w:bCs/>
          <w:sz w:val="23"/>
          <w:szCs w:val="23"/>
        </w:rPr>
      </w:pPr>
      <w:r>
        <w:rPr>
          <w:bCs/>
          <w:sz w:val="23"/>
          <w:szCs w:val="23"/>
        </w:rPr>
        <w:t>Teresa shared with the Board that the Steering Committee will be addressing in their next meeting the option of which service from the ICAPP-approved roster that they would like to support with these funds for the next two years and which agency or agencies would they like to reach out to for bids.  The Board wants to ensure that whichever agency is selected provides regul</w:t>
      </w:r>
      <w:r w:rsidR="007722F4">
        <w:rPr>
          <w:bCs/>
          <w:sz w:val="23"/>
          <w:szCs w:val="23"/>
        </w:rPr>
        <w:t>ar reports to the Steering Committee and Board.  Betty reminded the Board that, even though these funds are not part of any Decat contract, the Steering Committee and CPPC is part of Decat and a responsibility of the Board.</w:t>
      </w:r>
    </w:p>
    <w:p w:rsidR="007722F4" w:rsidRDefault="007722F4" w:rsidP="007722F4">
      <w:pPr>
        <w:rPr>
          <w:bCs/>
          <w:sz w:val="23"/>
          <w:szCs w:val="23"/>
        </w:rPr>
      </w:pPr>
    </w:p>
    <w:p w:rsidR="007722F4" w:rsidRDefault="003351FC" w:rsidP="007722F4">
      <w:pPr>
        <w:pStyle w:val="ListParagraph"/>
        <w:numPr>
          <w:ilvl w:val="0"/>
          <w:numId w:val="1"/>
        </w:numPr>
        <w:rPr>
          <w:bCs/>
          <w:sz w:val="23"/>
          <w:szCs w:val="23"/>
        </w:rPr>
      </w:pPr>
      <w:r>
        <w:rPr>
          <w:bCs/>
          <w:sz w:val="23"/>
          <w:szCs w:val="23"/>
        </w:rPr>
        <w:t>Updates:</w:t>
      </w:r>
    </w:p>
    <w:p w:rsidR="003351FC" w:rsidRDefault="003351FC" w:rsidP="003351FC">
      <w:pPr>
        <w:pStyle w:val="ListParagraph"/>
        <w:numPr>
          <w:ilvl w:val="1"/>
          <w:numId w:val="1"/>
        </w:numPr>
        <w:rPr>
          <w:bCs/>
          <w:sz w:val="23"/>
          <w:szCs w:val="23"/>
        </w:rPr>
      </w:pPr>
      <w:r>
        <w:rPr>
          <w:bCs/>
          <w:sz w:val="23"/>
          <w:szCs w:val="23"/>
        </w:rPr>
        <w:t xml:space="preserve">DHS/JCS STS and DHS Clinician Grant Applications: The drafts of both grant asks are with both Chris Foreman (Technical Assistant provider) and the Iowa ACEs 360 Coalition director Lisa </w:t>
      </w:r>
      <w:proofErr w:type="spellStart"/>
      <w:r>
        <w:rPr>
          <w:bCs/>
          <w:sz w:val="23"/>
          <w:szCs w:val="23"/>
        </w:rPr>
        <w:t>Cushatt</w:t>
      </w:r>
      <w:proofErr w:type="spellEnd"/>
      <w:r>
        <w:rPr>
          <w:bCs/>
          <w:sz w:val="23"/>
          <w:szCs w:val="23"/>
        </w:rPr>
        <w:t>, for review and feedback.</w:t>
      </w:r>
    </w:p>
    <w:p w:rsidR="003351FC" w:rsidRDefault="003351FC" w:rsidP="003351FC">
      <w:pPr>
        <w:pStyle w:val="ListParagraph"/>
        <w:numPr>
          <w:ilvl w:val="1"/>
          <w:numId w:val="1"/>
        </w:numPr>
        <w:rPr>
          <w:bCs/>
          <w:sz w:val="23"/>
          <w:szCs w:val="23"/>
        </w:rPr>
      </w:pPr>
      <w:r>
        <w:rPr>
          <w:bCs/>
          <w:sz w:val="23"/>
          <w:szCs w:val="23"/>
        </w:rPr>
        <w:t>Admin Assistant: The top candidate was selected and we are awaiting the DCI background check and reference checks before offering the position, which we hope to do later today or tomorrow.</w:t>
      </w:r>
    </w:p>
    <w:p w:rsidR="003351FC" w:rsidRDefault="003351FC" w:rsidP="003351FC">
      <w:pPr>
        <w:pStyle w:val="ListParagraph"/>
        <w:numPr>
          <w:ilvl w:val="1"/>
          <w:numId w:val="1"/>
        </w:numPr>
        <w:rPr>
          <w:bCs/>
          <w:sz w:val="23"/>
          <w:szCs w:val="23"/>
        </w:rPr>
      </w:pPr>
      <w:r>
        <w:rPr>
          <w:bCs/>
          <w:sz w:val="23"/>
          <w:szCs w:val="23"/>
        </w:rPr>
        <w:t>On-site monitoring: discussed under item 7 of the agenda.</w:t>
      </w:r>
    </w:p>
    <w:p w:rsidR="003351FC" w:rsidRDefault="003351FC" w:rsidP="003351FC">
      <w:pPr>
        <w:pStyle w:val="ListParagraph"/>
        <w:numPr>
          <w:ilvl w:val="1"/>
          <w:numId w:val="1"/>
        </w:numPr>
        <w:rPr>
          <w:bCs/>
          <w:sz w:val="23"/>
          <w:szCs w:val="23"/>
        </w:rPr>
      </w:pPr>
      <w:r>
        <w:rPr>
          <w:bCs/>
          <w:sz w:val="23"/>
          <w:szCs w:val="23"/>
        </w:rPr>
        <w:t xml:space="preserve">RJCE and CPPC activities: Provider of Color Fair was conducted and the feedback was very positive even though turn-out was marginal.  This was a joint effort with the University </w:t>
      </w:r>
      <w:proofErr w:type="gramStart"/>
      <w:r>
        <w:rPr>
          <w:bCs/>
          <w:sz w:val="23"/>
          <w:szCs w:val="23"/>
        </w:rPr>
        <w:t>of Iowa School of</w:t>
      </w:r>
      <w:proofErr w:type="gramEnd"/>
      <w:r>
        <w:rPr>
          <w:bCs/>
          <w:sz w:val="23"/>
          <w:szCs w:val="23"/>
        </w:rPr>
        <w:t xml:space="preserve"> Social Work Diversity Committee.  Cassie and Diamond were both heavily involved with this activity.  Cassie is just starting to learn her new role as Project and CPPC Coordinator.  She will be spending a lot of time training the new Administrative Assistant on job duties and can pick up her new duties as she releases her old ones.</w:t>
      </w:r>
    </w:p>
    <w:p w:rsidR="003351FC" w:rsidRDefault="003351FC" w:rsidP="003351FC">
      <w:pPr>
        <w:ind w:left="1080"/>
        <w:rPr>
          <w:bCs/>
          <w:sz w:val="23"/>
          <w:szCs w:val="23"/>
        </w:rPr>
      </w:pPr>
    </w:p>
    <w:p w:rsidR="003351FC" w:rsidRDefault="003351FC" w:rsidP="003351FC">
      <w:pPr>
        <w:pStyle w:val="ListParagraph"/>
        <w:numPr>
          <w:ilvl w:val="0"/>
          <w:numId w:val="1"/>
        </w:numPr>
        <w:rPr>
          <w:bCs/>
          <w:sz w:val="23"/>
          <w:szCs w:val="23"/>
        </w:rPr>
      </w:pPr>
      <w:r>
        <w:rPr>
          <w:bCs/>
          <w:sz w:val="23"/>
          <w:szCs w:val="23"/>
        </w:rPr>
        <w:t>Next meeting topics:</w:t>
      </w:r>
    </w:p>
    <w:p w:rsidR="003351FC" w:rsidRDefault="003351FC" w:rsidP="003351FC">
      <w:pPr>
        <w:pStyle w:val="ListParagraph"/>
        <w:numPr>
          <w:ilvl w:val="1"/>
          <w:numId w:val="1"/>
        </w:numPr>
        <w:rPr>
          <w:bCs/>
          <w:sz w:val="23"/>
          <w:szCs w:val="23"/>
        </w:rPr>
      </w:pPr>
      <w:r>
        <w:rPr>
          <w:bCs/>
          <w:sz w:val="23"/>
          <w:szCs w:val="23"/>
        </w:rPr>
        <w:t>RFPs</w:t>
      </w:r>
    </w:p>
    <w:p w:rsidR="003351FC" w:rsidRDefault="003351FC" w:rsidP="003351FC">
      <w:pPr>
        <w:pStyle w:val="ListParagraph"/>
        <w:numPr>
          <w:ilvl w:val="1"/>
          <w:numId w:val="1"/>
        </w:numPr>
        <w:rPr>
          <w:bCs/>
          <w:sz w:val="23"/>
          <w:szCs w:val="23"/>
        </w:rPr>
      </w:pPr>
      <w:r>
        <w:rPr>
          <w:bCs/>
          <w:sz w:val="23"/>
          <w:szCs w:val="23"/>
        </w:rPr>
        <w:t>Admin Assistant Update</w:t>
      </w:r>
    </w:p>
    <w:p w:rsidR="003351FC" w:rsidRDefault="003351FC" w:rsidP="003351FC">
      <w:pPr>
        <w:pStyle w:val="ListParagraph"/>
        <w:numPr>
          <w:ilvl w:val="1"/>
          <w:numId w:val="1"/>
        </w:numPr>
        <w:rPr>
          <w:bCs/>
          <w:sz w:val="23"/>
          <w:szCs w:val="23"/>
        </w:rPr>
      </w:pPr>
      <w:r>
        <w:rPr>
          <w:bCs/>
          <w:sz w:val="23"/>
          <w:szCs w:val="23"/>
        </w:rPr>
        <w:t>On-site Monitoring reports</w:t>
      </w:r>
    </w:p>
    <w:p w:rsidR="003351FC" w:rsidRDefault="003351FC" w:rsidP="003351FC">
      <w:pPr>
        <w:pStyle w:val="ListParagraph"/>
        <w:numPr>
          <w:ilvl w:val="1"/>
          <w:numId w:val="1"/>
        </w:numPr>
        <w:rPr>
          <w:bCs/>
          <w:sz w:val="23"/>
          <w:szCs w:val="23"/>
        </w:rPr>
      </w:pPr>
      <w:r>
        <w:rPr>
          <w:bCs/>
          <w:sz w:val="23"/>
          <w:szCs w:val="23"/>
        </w:rPr>
        <w:t>RJCE and CPPC Updates</w:t>
      </w:r>
    </w:p>
    <w:p w:rsidR="003351FC" w:rsidRDefault="003351FC" w:rsidP="003351FC">
      <w:pPr>
        <w:pStyle w:val="ListParagraph"/>
        <w:numPr>
          <w:ilvl w:val="1"/>
          <w:numId w:val="1"/>
        </w:numPr>
        <w:rPr>
          <w:bCs/>
          <w:sz w:val="23"/>
          <w:szCs w:val="23"/>
        </w:rPr>
      </w:pPr>
      <w:r>
        <w:rPr>
          <w:bCs/>
          <w:sz w:val="23"/>
          <w:szCs w:val="23"/>
        </w:rPr>
        <w:lastRenderedPageBreak/>
        <w:t>Possible transfer of funds</w:t>
      </w:r>
    </w:p>
    <w:p w:rsidR="003351FC" w:rsidRPr="003351FC" w:rsidRDefault="003351FC" w:rsidP="003351FC">
      <w:pPr>
        <w:pStyle w:val="ListParagraph"/>
        <w:numPr>
          <w:ilvl w:val="1"/>
          <w:numId w:val="1"/>
        </w:numPr>
        <w:rPr>
          <w:bCs/>
          <w:sz w:val="23"/>
          <w:szCs w:val="23"/>
        </w:rPr>
      </w:pPr>
      <w:r>
        <w:rPr>
          <w:bCs/>
          <w:sz w:val="23"/>
          <w:szCs w:val="23"/>
        </w:rPr>
        <w:t>Anything else</w:t>
      </w:r>
    </w:p>
    <w:p w:rsidR="00A23165" w:rsidRPr="00A23165" w:rsidRDefault="00A23165" w:rsidP="00A23165">
      <w:pPr>
        <w:rPr>
          <w:bCs/>
          <w:sz w:val="23"/>
          <w:szCs w:val="23"/>
        </w:rPr>
      </w:pPr>
    </w:p>
    <w:p w:rsidR="00EE70B4" w:rsidRPr="006D68D9" w:rsidRDefault="00EE70B4" w:rsidP="00FF34CA">
      <w:pPr>
        <w:pStyle w:val="ListParagraph"/>
        <w:numPr>
          <w:ilvl w:val="0"/>
          <w:numId w:val="1"/>
        </w:numPr>
        <w:rPr>
          <w:bCs/>
          <w:sz w:val="23"/>
          <w:szCs w:val="23"/>
        </w:rPr>
      </w:pPr>
      <w:r w:rsidRPr="006D68D9">
        <w:rPr>
          <w:bCs/>
          <w:sz w:val="23"/>
          <w:szCs w:val="23"/>
        </w:rPr>
        <w:t xml:space="preserve">Adjourn: </w:t>
      </w:r>
      <w:r w:rsidR="000B02BC">
        <w:rPr>
          <w:bCs/>
          <w:sz w:val="23"/>
          <w:szCs w:val="23"/>
        </w:rPr>
        <w:t>Jim</w:t>
      </w:r>
      <w:r w:rsidR="002E2330" w:rsidRPr="006D68D9">
        <w:rPr>
          <w:bCs/>
          <w:sz w:val="23"/>
          <w:szCs w:val="23"/>
        </w:rPr>
        <w:t xml:space="preserve"> moved to adjourn the meeting at </w:t>
      </w:r>
      <w:r w:rsidR="000B02BC">
        <w:rPr>
          <w:bCs/>
          <w:sz w:val="23"/>
          <w:szCs w:val="23"/>
        </w:rPr>
        <w:t>11:</w:t>
      </w:r>
      <w:r w:rsidR="003351FC">
        <w:rPr>
          <w:bCs/>
          <w:sz w:val="23"/>
          <w:szCs w:val="23"/>
        </w:rPr>
        <w:t>29</w:t>
      </w:r>
      <w:r w:rsidR="00C5177E" w:rsidRPr="006D68D9">
        <w:rPr>
          <w:bCs/>
          <w:sz w:val="23"/>
          <w:szCs w:val="23"/>
        </w:rPr>
        <w:t xml:space="preserve"> </w:t>
      </w:r>
      <w:r w:rsidR="002A7A09" w:rsidRPr="006D68D9">
        <w:rPr>
          <w:bCs/>
          <w:sz w:val="23"/>
          <w:szCs w:val="23"/>
        </w:rPr>
        <w:t>am</w:t>
      </w:r>
      <w:r w:rsidR="002E2330" w:rsidRPr="006D68D9">
        <w:rPr>
          <w:bCs/>
          <w:sz w:val="23"/>
          <w:szCs w:val="23"/>
        </w:rPr>
        <w:t xml:space="preserve">.  </w:t>
      </w:r>
      <w:r w:rsidR="000B02BC">
        <w:rPr>
          <w:bCs/>
          <w:sz w:val="23"/>
          <w:szCs w:val="23"/>
        </w:rPr>
        <w:t>Matt</w:t>
      </w:r>
      <w:r w:rsidR="002E2330" w:rsidRPr="006D68D9">
        <w:rPr>
          <w:bCs/>
          <w:sz w:val="23"/>
          <w:szCs w:val="23"/>
        </w:rPr>
        <w:t xml:space="preserve"> seconded</w:t>
      </w:r>
      <w:r w:rsidR="00C5177E" w:rsidRPr="006D68D9">
        <w:rPr>
          <w:bCs/>
          <w:sz w:val="23"/>
          <w:szCs w:val="23"/>
        </w:rPr>
        <w:t>, all were in favor,</w:t>
      </w:r>
      <w:r w:rsidR="002E2330" w:rsidRPr="006D68D9">
        <w:rPr>
          <w:bCs/>
          <w:sz w:val="23"/>
          <w:szCs w:val="23"/>
        </w:rPr>
        <w:t xml:space="preserve"> and the motion was passed unanimously</w:t>
      </w:r>
      <w:r w:rsidRPr="006D68D9">
        <w:rPr>
          <w:bCs/>
          <w:sz w:val="23"/>
          <w:szCs w:val="23"/>
        </w:rPr>
        <w:t>.</w:t>
      </w:r>
    </w:p>
    <w:p w:rsidR="00EE70B4" w:rsidRPr="006D68D9" w:rsidRDefault="00EE70B4" w:rsidP="00E27526">
      <w:pPr>
        <w:rPr>
          <w:bCs/>
          <w:sz w:val="23"/>
          <w:szCs w:val="23"/>
        </w:rPr>
      </w:pPr>
    </w:p>
    <w:p w:rsidR="00E27526" w:rsidRPr="006D68D9" w:rsidRDefault="00E27526" w:rsidP="00E27526">
      <w:pPr>
        <w:rPr>
          <w:bCs/>
          <w:sz w:val="23"/>
          <w:szCs w:val="23"/>
        </w:rPr>
      </w:pPr>
      <w:r w:rsidRPr="006D68D9">
        <w:rPr>
          <w:bCs/>
          <w:sz w:val="23"/>
          <w:szCs w:val="23"/>
        </w:rPr>
        <w:t xml:space="preserve">The next </w:t>
      </w:r>
      <w:r w:rsidR="00ED62EF" w:rsidRPr="006D68D9">
        <w:rPr>
          <w:bCs/>
          <w:sz w:val="23"/>
          <w:szCs w:val="23"/>
        </w:rPr>
        <w:t xml:space="preserve">regularly scheduled </w:t>
      </w:r>
      <w:r w:rsidRPr="006D68D9">
        <w:rPr>
          <w:bCs/>
          <w:sz w:val="23"/>
          <w:szCs w:val="23"/>
        </w:rPr>
        <w:t xml:space="preserve">meeting will be </w:t>
      </w:r>
      <w:r w:rsidR="00696EBF" w:rsidRPr="006D68D9">
        <w:rPr>
          <w:bCs/>
          <w:sz w:val="23"/>
          <w:szCs w:val="23"/>
        </w:rPr>
        <w:t xml:space="preserve">Thursday, </w:t>
      </w:r>
      <w:r w:rsidR="003351FC">
        <w:rPr>
          <w:bCs/>
          <w:sz w:val="23"/>
          <w:szCs w:val="23"/>
        </w:rPr>
        <w:t>October 10</w:t>
      </w:r>
      <w:r w:rsidR="00EA113A" w:rsidRPr="006D68D9">
        <w:rPr>
          <w:bCs/>
          <w:sz w:val="23"/>
          <w:szCs w:val="23"/>
        </w:rPr>
        <w:t>, 2019</w:t>
      </w:r>
      <w:r w:rsidR="00F01B68" w:rsidRPr="006D68D9">
        <w:rPr>
          <w:bCs/>
          <w:sz w:val="23"/>
          <w:szCs w:val="23"/>
        </w:rPr>
        <w:t>, 10:00</w:t>
      </w:r>
      <w:r w:rsidR="006B7DC7" w:rsidRPr="006D68D9">
        <w:rPr>
          <w:bCs/>
          <w:sz w:val="23"/>
          <w:szCs w:val="23"/>
        </w:rPr>
        <w:t xml:space="preserve"> am</w:t>
      </w:r>
      <w:r w:rsidR="00105CBE" w:rsidRPr="006D68D9">
        <w:rPr>
          <w:bCs/>
          <w:sz w:val="23"/>
          <w:szCs w:val="23"/>
        </w:rPr>
        <w:t>, at Polk County River Place, Conference Room 3</w:t>
      </w:r>
      <w:r w:rsidR="007603AB" w:rsidRPr="006D68D9">
        <w:rPr>
          <w:bCs/>
          <w:sz w:val="23"/>
          <w:szCs w:val="23"/>
        </w:rPr>
        <w:t>.</w:t>
      </w:r>
      <w:r w:rsidR="00056095" w:rsidRPr="006D68D9">
        <w:rPr>
          <w:bCs/>
          <w:sz w:val="23"/>
          <w:szCs w:val="23"/>
        </w:rPr>
        <w:t xml:space="preserve">  </w:t>
      </w:r>
    </w:p>
    <w:p w:rsidR="00467FE5" w:rsidRPr="005506ED" w:rsidRDefault="00467FE5" w:rsidP="00467FE5">
      <w:pPr>
        <w:rPr>
          <w:bCs/>
          <w:sz w:val="23"/>
          <w:szCs w:val="23"/>
        </w:rPr>
      </w:pPr>
    </w:p>
    <w:sectPr w:rsidR="00467FE5" w:rsidRPr="005506ED" w:rsidSect="008C51E1">
      <w:footerReference w:type="default" r:id="rId10"/>
      <w:footerReference w:type="first" r:id="rId11"/>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82" w:rsidRDefault="00A12F82" w:rsidP="00E7785E">
      <w:r>
        <w:separator/>
      </w:r>
    </w:p>
  </w:endnote>
  <w:endnote w:type="continuationSeparator" w:id="0">
    <w:p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1E145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E1451">
      <w:rPr>
        <w:b/>
        <w:bCs/>
        <w:noProof/>
      </w:rPr>
      <w:t>4</w:t>
    </w:r>
    <w:r>
      <w:rPr>
        <w:b/>
        <w:bCs/>
      </w:rPr>
      <w:fldChar w:fldCharType="end"/>
    </w:r>
  </w:p>
  <w:p w:rsidR="008B7575" w:rsidRDefault="008B7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8C51E1">
    <w:pPr>
      <w:pStyle w:val="Footer"/>
    </w:pPr>
  </w:p>
  <w:p w:rsidR="008C51E1" w:rsidRDefault="008C5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82" w:rsidRDefault="00A12F82" w:rsidP="00E7785E">
      <w:r>
        <w:separator/>
      </w:r>
    </w:p>
  </w:footnote>
  <w:footnote w:type="continuationSeparator" w:id="0">
    <w:p w:rsidR="00A12F82" w:rsidRDefault="00A12F82" w:rsidP="00E77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422A8"/>
    <w:multiLevelType w:val="hybridMultilevel"/>
    <w:tmpl w:val="09A2C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917593"/>
    <w:multiLevelType w:val="hybridMultilevel"/>
    <w:tmpl w:val="963CE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8B0AA0"/>
    <w:multiLevelType w:val="hybridMultilevel"/>
    <w:tmpl w:val="7E04F8D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944343"/>
    <w:multiLevelType w:val="hybridMultilevel"/>
    <w:tmpl w:val="373EB9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6"/>
  </w:num>
  <w:num w:numId="5">
    <w:abstractNumId w:val="2"/>
  </w:num>
  <w:num w:numId="6">
    <w:abstractNumId w:val="7"/>
  </w:num>
  <w:num w:numId="7">
    <w:abstractNumId w:val="5"/>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95"/>
    <w:rsid w:val="00000919"/>
    <w:rsid w:val="000046E5"/>
    <w:rsid w:val="00016113"/>
    <w:rsid w:val="0002212F"/>
    <w:rsid w:val="000316DA"/>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62C60"/>
    <w:rsid w:val="000806DB"/>
    <w:rsid w:val="000829E0"/>
    <w:rsid w:val="00084F1F"/>
    <w:rsid w:val="00093F18"/>
    <w:rsid w:val="000A123E"/>
    <w:rsid w:val="000A4648"/>
    <w:rsid w:val="000A66DC"/>
    <w:rsid w:val="000A744D"/>
    <w:rsid w:val="000A7A9C"/>
    <w:rsid w:val="000B02BC"/>
    <w:rsid w:val="000B5164"/>
    <w:rsid w:val="000B6981"/>
    <w:rsid w:val="000B6D43"/>
    <w:rsid w:val="000B7FEF"/>
    <w:rsid w:val="000C0BF9"/>
    <w:rsid w:val="000C430A"/>
    <w:rsid w:val="000C5CA6"/>
    <w:rsid w:val="000D19C9"/>
    <w:rsid w:val="000E1FF7"/>
    <w:rsid w:val="000E2757"/>
    <w:rsid w:val="000E3045"/>
    <w:rsid w:val="000E30C0"/>
    <w:rsid w:val="000E5FCC"/>
    <w:rsid w:val="000E78E6"/>
    <w:rsid w:val="000F5CDB"/>
    <w:rsid w:val="000F6E77"/>
    <w:rsid w:val="000F7F65"/>
    <w:rsid w:val="001001DB"/>
    <w:rsid w:val="00105C0F"/>
    <w:rsid w:val="00105CBE"/>
    <w:rsid w:val="0011033F"/>
    <w:rsid w:val="00124980"/>
    <w:rsid w:val="00126BB8"/>
    <w:rsid w:val="00126BC3"/>
    <w:rsid w:val="00132C0B"/>
    <w:rsid w:val="00132EA6"/>
    <w:rsid w:val="001369C1"/>
    <w:rsid w:val="001378DD"/>
    <w:rsid w:val="001402C5"/>
    <w:rsid w:val="00145FED"/>
    <w:rsid w:val="0015160A"/>
    <w:rsid w:val="0015254C"/>
    <w:rsid w:val="001543FD"/>
    <w:rsid w:val="00160B15"/>
    <w:rsid w:val="0016591F"/>
    <w:rsid w:val="0017601C"/>
    <w:rsid w:val="0017652F"/>
    <w:rsid w:val="00177FFB"/>
    <w:rsid w:val="00185606"/>
    <w:rsid w:val="00195C17"/>
    <w:rsid w:val="001A3AFB"/>
    <w:rsid w:val="001B5FCF"/>
    <w:rsid w:val="001B6EB3"/>
    <w:rsid w:val="001C5732"/>
    <w:rsid w:val="001D5694"/>
    <w:rsid w:val="001D6D3F"/>
    <w:rsid w:val="001E03BF"/>
    <w:rsid w:val="001E1451"/>
    <w:rsid w:val="001E2B7A"/>
    <w:rsid w:val="001E36C5"/>
    <w:rsid w:val="001F3B46"/>
    <w:rsid w:val="002001BD"/>
    <w:rsid w:val="00203BA0"/>
    <w:rsid w:val="002041BC"/>
    <w:rsid w:val="00205117"/>
    <w:rsid w:val="002118AF"/>
    <w:rsid w:val="00214948"/>
    <w:rsid w:val="00216B6C"/>
    <w:rsid w:val="00223F2E"/>
    <w:rsid w:val="00224058"/>
    <w:rsid w:val="0022789C"/>
    <w:rsid w:val="00230B16"/>
    <w:rsid w:val="002314A9"/>
    <w:rsid w:val="0023512D"/>
    <w:rsid w:val="00236409"/>
    <w:rsid w:val="00236BAB"/>
    <w:rsid w:val="002452EB"/>
    <w:rsid w:val="00246227"/>
    <w:rsid w:val="002547D5"/>
    <w:rsid w:val="00254D1A"/>
    <w:rsid w:val="00256CCA"/>
    <w:rsid w:val="00270F59"/>
    <w:rsid w:val="002735BD"/>
    <w:rsid w:val="002940CC"/>
    <w:rsid w:val="00294557"/>
    <w:rsid w:val="00295EE3"/>
    <w:rsid w:val="00297B34"/>
    <w:rsid w:val="002A0DAC"/>
    <w:rsid w:val="002A174A"/>
    <w:rsid w:val="002A1C9A"/>
    <w:rsid w:val="002A421D"/>
    <w:rsid w:val="002A5829"/>
    <w:rsid w:val="002A5B34"/>
    <w:rsid w:val="002A7A09"/>
    <w:rsid w:val="002B17D9"/>
    <w:rsid w:val="002B2DE3"/>
    <w:rsid w:val="002C3FE2"/>
    <w:rsid w:val="002D36A7"/>
    <w:rsid w:val="002E2330"/>
    <w:rsid w:val="002E77A3"/>
    <w:rsid w:val="002F08E7"/>
    <w:rsid w:val="00300FBE"/>
    <w:rsid w:val="00303F8E"/>
    <w:rsid w:val="0031258F"/>
    <w:rsid w:val="00313C1B"/>
    <w:rsid w:val="003168A5"/>
    <w:rsid w:val="00334628"/>
    <w:rsid w:val="003348FA"/>
    <w:rsid w:val="003351FC"/>
    <w:rsid w:val="00335343"/>
    <w:rsid w:val="00335E92"/>
    <w:rsid w:val="003367A8"/>
    <w:rsid w:val="00336E85"/>
    <w:rsid w:val="00341801"/>
    <w:rsid w:val="00341C32"/>
    <w:rsid w:val="00350285"/>
    <w:rsid w:val="00350597"/>
    <w:rsid w:val="00353068"/>
    <w:rsid w:val="00354996"/>
    <w:rsid w:val="003566A7"/>
    <w:rsid w:val="00363887"/>
    <w:rsid w:val="00367C42"/>
    <w:rsid w:val="003734EE"/>
    <w:rsid w:val="00373E55"/>
    <w:rsid w:val="00375466"/>
    <w:rsid w:val="003778A5"/>
    <w:rsid w:val="00381A44"/>
    <w:rsid w:val="00385BCC"/>
    <w:rsid w:val="0038763B"/>
    <w:rsid w:val="003958F0"/>
    <w:rsid w:val="00396F09"/>
    <w:rsid w:val="003A73AB"/>
    <w:rsid w:val="003B3AA3"/>
    <w:rsid w:val="003C0467"/>
    <w:rsid w:val="003C4813"/>
    <w:rsid w:val="003C639B"/>
    <w:rsid w:val="003C66F2"/>
    <w:rsid w:val="003D0B05"/>
    <w:rsid w:val="003D7AE8"/>
    <w:rsid w:val="003E0D76"/>
    <w:rsid w:val="003E68F0"/>
    <w:rsid w:val="00413C6C"/>
    <w:rsid w:val="00415A6D"/>
    <w:rsid w:val="00417627"/>
    <w:rsid w:val="00421AC7"/>
    <w:rsid w:val="00422FA2"/>
    <w:rsid w:val="004270B1"/>
    <w:rsid w:val="00427BB4"/>
    <w:rsid w:val="00433877"/>
    <w:rsid w:val="00442014"/>
    <w:rsid w:val="004458F7"/>
    <w:rsid w:val="00450996"/>
    <w:rsid w:val="0045202E"/>
    <w:rsid w:val="00453BA1"/>
    <w:rsid w:val="004566F2"/>
    <w:rsid w:val="004619EE"/>
    <w:rsid w:val="004652B8"/>
    <w:rsid w:val="00467081"/>
    <w:rsid w:val="00467FE5"/>
    <w:rsid w:val="00471BFB"/>
    <w:rsid w:val="0049193B"/>
    <w:rsid w:val="00492545"/>
    <w:rsid w:val="004A4539"/>
    <w:rsid w:val="004A56D7"/>
    <w:rsid w:val="004B49B3"/>
    <w:rsid w:val="004B4AE3"/>
    <w:rsid w:val="004B4B79"/>
    <w:rsid w:val="004B5E03"/>
    <w:rsid w:val="004B63B9"/>
    <w:rsid w:val="004C23BC"/>
    <w:rsid w:val="004C6371"/>
    <w:rsid w:val="004C6997"/>
    <w:rsid w:val="004D53D9"/>
    <w:rsid w:val="004D60F9"/>
    <w:rsid w:val="004D6A89"/>
    <w:rsid w:val="004E077F"/>
    <w:rsid w:val="004E15B2"/>
    <w:rsid w:val="004E7A16"/>
    <w:rsid w:val="004F0BBB"/>
    <w:rsid w:val="004F1DDF"/>
    <w:rsid w:val="004F6F20"/>
    <w:rsid w:val="004F7DC8"/>
    <w:rsid w:val="005052B4"/>
    <w:rsid w:val="00505EBF"/>
    <w:rsid w:val="00510C0C"/>
    <w:rsid w:val="005270F7"/>
    <w:rsid w:val="00527D20"/>
    <w:rsid w:val="005336D4"/>
    <w:rsid w:val="005343B6"/>
    <w:rsid w:val="00547E73"/>
    <w:rsid w:val="0055042B"/>
    <w:rsid w:val="005506ED"/>
    <w:rsid w:val="005514EA"/>
    <w:rsid w:val="00553F53"/>
    <w:rsid w:val="00555E58"/>
    <w:rsid w:val="00557E85"/>
    <w:rsid w:val="0056075C"/>
    <w:rsid w:val="005632AD"/>
    <w:rsid w:val="00564570"/>
    <w:rsid w:val="00565457"/>
    <w:rsid w:val="00571B36"/>
    <w:rsid w:val="005730F7"/>
    <w:rsid w:val="00580075"/>
    <w:rsid w:val="00581CCF"/>
    <w:rsid w:val="00582B2C"/>
    <w:rsid w:val="005842AC"/>
    <w:rsid w:val="00594857"/>
    <w:rsid w:val="005A022D"/>
    <w:rsid w:val="005A1A07"/>
    <w:rsid w:val="005A4B5A"/>
    <w:rsid w:val="005B0EC4"/>
    <w:rsid w:val="005B0F75"/>
    <w:rsid w:val="005B5AAD"/>
    <w:rsid w:val="005C6ABE"/>
    <w:rsid w:val="005D6C4F"/>
    <w:rsid w:val="005E2E9E"/>
    <w:rsid w:val="005E3E43"/>
    <w:rsid w:val="005E5457"/>
    <w:rsid w:val="005F0A8F"/>
    <w:rsid w:val="005F3822"/>
    <w:rsid w:val="005F45D6"/>
    <w:rsid w:val="006002B2"/>
    <w:rsid w:val="00605CE2"/>
    <w:rsid w:val="00612D60"/>
    <w:rsid w:val="00612E85"/>
    <w:rsid w:val="006147E3"/>
    <w:rsid w:val="00621EC3"/>
    <w:rsid w:val="00624737"/>
    <w:rsid w:val="00626AF9"/>
    <w:rsid w:val="006310D2"/>
    <w:rsid w:val="006318D9"/>
    <w:rsid w:val="00632049"/>
    <w:rsid w:val="00634A7E"/>
    <w:rsid w:val="0063683A"/>
    <w:rsid w:val="0063699A"/>
    <w:rsid w:val="00640C78"/>
    <w:rsid w:val="006468A8"/>
    <w:rsid w:val="00650414"/>
    <w:rsid w:val="0065307F"/>
    <w:rsid w:val="00662337"/>
    <w:rsid w:val="006643C2"/>
    <w:rsid w:val="006645F5"/>
    <w:rsid w:val="00671F18"/>
    <w:rsid w:val="006763C8"/>
    <w:rsid w:val="006772DB"/>
    <w:rsid w:val="006818C5"/>
    <w:rsid w:val="00682C84"/>
    <w:rsid w:val="0068302E"/>
    <w:rsid w:val="0068711B"/>
    <w:rsid w:val="00690923"/>
    <w:rsid w:val="00690BFC"/>
    <w:rsid w:val="006924DC"/>
    <w:rsid w:val="006937A2"/>
    <w:rsid w:val="0069483D"/>
    <w:rsid w:val="00694B6F"/>
    <w:rsid w:val="00696EBF"/>
    <w:rsid w:val="006A02A2"/>
    <w:rsid w:val="006B32A0"/>
    <w:rsid w:val="006B5CD3"/>
    <w:rsid w:val="006B5EB5"/>
    <w:rsid w:val="006B7DC7"/>
    <w:rsid w:val="006C0A1F"/>
    <w:rsid w:val="006C27CB"/>
    <w:rsid w:val="006C40D5"/>
    <w:rsid w:val="006C6E97"/>
    <w:rsid w:val="006D3A58"/>
    <w:rsid w:val="006D68D9"/>
    <w:rsid w:val="006D68FB"/>
    <w:rsid w:val="006E4684"/>
    <w:rsid w:val="006E61D2"/>
    <w:rsid w:val="006F05D8"/>
    <w:rsid w:val="006F3BD3"/>
    <w:rsid w:val="006F4F99"/>
    <w:rsid w:val="006F66F2"/>
    <w:rsid w:val="006F703E"/>
    <w:rsid w:val="007053B4"/>
    <w:rsid w:val="00707D6D"/>
    <w:rsid w:val="0071333D"/>
    <w:rsid w:val="0072342D"/>
    <w:rsid w:val="0072505F"/>
    <w:rsid w:val="00725900"/>
    <w:rsid w:val="00727E3F"/>
    <w:rsid w:val="0074761E"/>
    <w:rsid w:val="00752C24"/>
    <w:rsid w:val="007553F7"/>
    <w:rsid w:val="007603AB"/>
    <w:rsid w:val="00760AE0"/>
    <w:rsid w:val="00765C01"/>
    <w:rsid w:val="0077104D"/>
    <w:rsid w:val="007722F4"/>
    <w:rsid w:val="0077433D"/>
    <w:rsid w:val="00775BF1"/>
    <w:rsid w:val="00780A10"/>
    <w:rsid w:val="00786FD6"/>
    <w:rsid w:val="00793061"/>
    <w:rsid w:val="007952D5"/>
    <w:rsid w:val="007962A3"/>
    <w:rsid w:val="007A473A"/>
    <w:rsid w:val="007B0DE6"/>
    <w:rsid w:val="007B13A2"/>
    <w:rsid w:val="007C65D0"/>
    <w:rsid w:val="007D3B9A"/>
    <w:rsid w:val="007D430B"/>
    <w:rsid w:val="007D468D"/>
    <w:rsid w:val="007D60B9"/>
    <w:rsid w:val="007D78E8"/>
    <w:rsid w:val="007E1D51"/>
    <w:rsid w:val="007E1E16"/>
    <w:rsid w:val="007E2F53"/>
    <w:rsid w:val="007E4C5C"/>
    <w:rsid w:val="007E76E4"/>
    <w:rsid w:val="007F1ED5"/>
    <w:rsid w:val="007F4995"/>
    <w:rsid w:val="007F5762"/>
    <w:rsid w:val="008048AD"/>
    <w:rsid w:val="0080527B"/>
    <w:rsid w:val="00806DA9"/>
    <w:rsid w:val="00812CC9"/>
    <w:rsid w:val="00813024"/>
    <w:rsid w:val="00813147"/>
    <w:rsid w:val="00813C21"/>
    <w:rsid w:val="008142A3"/>
    <w:rsid w:val="008147C3"/>
    <w:rsid w:val="00817548"/>
    <w:rsid w:val="00821BF3"/>
    <w:rsid w:val="00824279"/>
    <w:rsid w:val="00824A50"/>
    <w:rsid w:val="00831A11"/>
    <w:rsid w:val="008320A6"/>
    <w:rsid w:val="00834B0E"/>
    <w:rsid w:val="00834E46"/>
    <w:rsid w:val="00836BAC"/>
    <w:rsid w:val="008435FE"/>
    <w:rsid w:val="00843D15"/>
    <w:rsid w:val="00850D17"/>
    <w:rsid w:val="00852C17"/>
    <w:rsid w:val="00852E05"/>
    <w:rsid w:val="00855F88"/>
    <w:rsid w:val="00857912"/>
    <w:rsid w:val="00861700"/>
    <w:rsid w:val="008619DD"/>
    <w:rsid w:val="008621D2"/>
    <w:rsid w:val="0086296C"/>
    <w:rsid w:val="00862B6E"/>
    <w:rsid w:val="008820D1"/>
    <w:rsid w:val="00882BE3"/>
    <w:rsid w:val="00884E6A"/>
    <w:rsid w:val="00884E6D"/>
    <w:rsid w:val="008920C7"/>
    <w:rsid w:val="008A08CC"/>
    <w:rsid w:val="008A0B2D"/>
    <w:rsid w:val="008A4633"/>
    <w:rsid w:val="008A5C5A"/>
    <w:rsid w:val="008B4FDC"/>
    <w:rsid w:val="008B7575"/>
    <w:rsid w:val="008C29A7"/>
    <w:rsid w:val="008C35FE"/>
    <w:rsid w:val="008C41B3"/>
    <w:rsid w:val="008C4C42"/>
    <w:rsid w:val="008C51E1"/>
    <w:rsid w:val="008C5307"/>
    <w:rsid w:val="008C57A0"/>
    <w:rsid w:val="008C70ED"/>
    <w:rsid w:val="008C7E28"/>
    <w:rsid w:val="008D4D13"/>
    <w:rsid w:val="008D6311"/>
    <w:rsid w:val="008E1F09"/>
    <w:rsid w:val="008E4C2E"/>
    <w:rsid w:val="008F0D28"/>
    <w:rsid w:val="008F4D57"/>
    <w:rsid w:val="008F4FE8"/>
    <w:rsid w:val="008F5202"/>
    <w:rsid w:val="008F6393"/>
    <w:rsid w:val="008F65D7"/>
    <w:rsid w:val="008F712B"/>
    <w:rsid w:val="008F7F4F"/>
    <w:rsid w:val="009018AC"/>
    <w:rsid w:val="0090344A"/>
    <w:rsid w:val="0090642A"/>
    <w:rsid w:val="00906CD2"/>
    <w:rsid w:val="00911428"/>
    <w:rsid w:val="009149AF"/>
    <w:rsid w:val="00920476"/>
    <w:rsid w:val="0092520E"/>
    <w:rsid w:val="00931E69"/>
    <w:rsid w:val="00932CCE"/>
    <w:rsid w:val="00933678"/>
    <w:rsid w:val="00942B40"/>
    <w:rsid w:val="00942F2F"/>
    <w:rsid w:val="00945968"/>
    <w:rsid w:val="00951620"/>
    <w:rsid w:val="00951AA1"/>
    <w:rsid w:val="00951DBC"/>
    <w:rsid w:val="009533D2"/>
    <w:rsid w:val="009556A6"/>
    <w:rsid w:val="00960BF2"/>
    <w:rsid w:val="00965014"/>
    <w:rsid w:val="0096751D"/>
    <w:rsid w:val="00967E99"/>
    <w:rsid w:val="009703DB"/>
    <w:rsid w:val="009712D4"/>
    <w:rsid w:val="0097264E"/>
    <w:rsid w:val="00977219"/>
    <w:rsid w:val="009908C9"/>
    <w:rsid w:val="0099232E"/>
    <w:rsid w:val="009926A7"/>
    <w:rsid w:val="00993D05"/>
    <w:rsid w:val="0099617E"/>
    <w:rsid w:val="009A0783"/>
    <w:rsid w:val="009A43F0"/>
    <w:rsid w:val="009A4BE3"/>
    <w:rsid w:val="009B2564"/>
    <w:rsid w:val="009B3200"/>
    <w:rsid w:val="009C1559"/>
    <w:rsid w:val="009C48DB"/>
    <w:rsid w:val="009C4F8B"/>
    <w:rsid w:val="009C4FF3"/>
    <w:rsid w:val="009C54F3"/>
    <w:rsid w:val="009D3ABB"/>
    <w:rsid w:val="009D5088"/>
    <w:rsid w:val="009D5B7B"/>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23165"/>
    <w:rsid w:val="00A2555F"/>
    <w:rsid w:val="00A261C2"/>
    <w:rsid w:val="00A27C83"/>
    <w:rsid w:val="00A33A51"/>
    <w:rsid w:val="00A36F45"/>
    <w:rsid w:val="00A36FDF"/>
    <w:rsid w:val="00A377DB"/>
    <w:rsid w:val="00A47177"/>
    <w:rsid w:val="00A53590"/>
    <w:rsid w:val="00A60379"/>
    <w:rsid w:val="00A607FA"/>
    <w:rsid w:val="00A62A55"/>
    <w:rsid w:val="00A63CEB"/>
    <w:rsid w:val="00A64478"/>
    <w:rsid w:val="00A64C41"/>
    <w:rsid w:val="00A6757A"/>
    <w:rsid w:val="00A67F59"/>
    <w:rsid w:val="00A712DB"/>
    <w:rsid w:val="00A73475"/>
    <w:rsid w:val="00A81152"/>
    <w:rsid w:val="00A81F24"/>
    <w:rsid w:val="00A84776"/>
    <w:rsid w:val="00A91C83"/>
    <w:rsid w:val="00A91D36"/>
    <w:rsid w:val="00A9383D"/>
    <w:rsid w:val="00A939DE"/>
    <w:rsid w:val="00A95269"/>
    <w:rsid w:val="00A96A23"/>
    <w:rsid w:val="00AA0BFD"/>
    <w:rsid w:val="00AA25BF"/>
    <w:rsid w:val="00AA573F"/>
    <w:rsid w:val="00AB0C90"/>
    <w:rsid w:val="00AB0F8A"/>
    <w:rsid w:val="00AB1098"/>
    <w:rsid w:val="00AC2B11"/>
    <w:rsid w:val="00AD0F13"/>
    <w:rsid w:val="00AD119A"/>
    <w:rsid w:val="00AD3770"/>
    <w:rsid w:val="00AD6312"/>
    <w:rsid w:val="00AE4532"/>
    <w:rsid w:val="00AE7957"/>
    <w:rsid w:val="00AF1022"/>
    <w:rsid w:val="00AF1B3F"/>
    <w:rsid w:val="00AF2508"/>
    <w:rsid w:val="00AF29DF"/>
    <w:rsid w:val="00B01A49"/>
    <w:rsid w:val="00B05AB5"/>
    <w:rsid w:val="00B05AC7"/>
    <w:rsid w:val="00B120A8"/>
    <w:rsid w:val="00B138FA"/>
    <w:rsid w:val="00B13F23"/>
    <w:rsid w:val="00B22341"/>
    <w:rsid w:val="00B23A59"/>
    <w:rsid w:val="00B247FE"/>
    <w:rsid w:val="00B26B9B"/>
    <w:rsid w:val="00B32AB5"/>
    <w:rsid w:val="00B352DA"/>
    <w:rsid w:val="00B36FF8"/>
    <w:rsid w:val="00B40764"/>
    <w:rsid w:val="00B46BF0"/>
    <w:rsid w:val="00B530A6"/>
    <w:rsid w:val="00B55AA3"/>
    <w:rsid w:val="00B62FBC"/>
    <w:rsid w:val="00B66C84"/>
    <w:rsid w:val="00B66F33"/>
    <w:rsid w:val="00B67DEF"/>
    <w:rsid w:val="00B70E8E"/>
    <w:rsid w:val="00B849FA"/>
    <w:rsid w:val="00B91F3C"/>
    <w:rsid w:val="00B949C1"/>
    <w:rsid w:val="00B94C0C"/>
    <w:rsid w:val="00B9671A"/>
    <w:rsid w:val="00B97E85"/>
    <w:rsid w:val="00BA0FFC"/>
    <w:rsid w:val="00BA2899"/>
    <w:rsid w:val="00BA41C4"/>
    <w:rsid w:val="00BA5007"/>
    <w:rsid w:val="00BA6E2D"/>
    <w:rsid w:val="00BA7692"/>
    <w:rsid w:val="00BC06DA"/>
    <w:rsid w:val="00BC0EEE"/>
    <w:rsid w:val="00BC21DC"/>
    <w:rsid w:val="00BC3D06"/>
    <w:rsid w:val="00BC570C"/>
    <w:rsid w:val="00BC5957"/>
    <w:rsid w:val="00BD222C"/>
    <w:rsid w:val="00BE4D0F"/>
    <w:rsid w:val="00BE6434"/>
    <w:rsid w:val="00BE68DF"/>
    <w:rsid w:val="00BF098E"/>
    <w:rsid w:val="00BF49C2"/>
    <w:rsid w:val="00BF4A72"/>
    <w:rsid w:val="00BF5359"/>
    <w:rsid w:val="00BF69AF"/>
    <w:rsid w:val="00C01122"/>
    <w:rsid w:val="00C0770E"/>
    <w:rsid w:val="00C10B51"/>
    <w:rsid w:val="00C17A35"/>
    <w:rsid w:val="00C24C85"/>
    <w:rsid w:val="00C261C7"/>
    <w:rsid w:val="00C27CC0"/>
    <w:rsid w:val="00C35B41"/>
    <w:rsid w:val="00C41480"/>
    <w:rsid w:val="00C424D4"/>
    <w:rsid w:val="00C42D28"/>
    <w:rsid w:val="00C4610F"/>
    <w:rsid w:val="00C5177E"/>
    <w:rsid w:val="00C55120"/>
    <w:rsid w:val="00C5550E"/>
    <w:rsid w:val="00C566E1"/>
    <w:rsid w:val="00C64731"/>
    <w:rsid w:val="00C87965"/>
    <w:rsid w:val="00C9146A"/>
    <w:rsid w:val="00C91DF3"/>
    <w:rsid w:val="00C926F3"/>
    <w:rsid w:val="00CA3A0E"/>
    <w:rsid w:val="00CB152E"/>
    <w:rsid w:val="00CB30E8"/>
    <w:rsid w:val="00CB438F"/>
    <w:rsid w:val="00CB690A"/>
    <w:rsid w:val="00CD1419"/>
    <w:rsid w:val="00CE025F"/>
    <w:rsid w:val="00CE0940"/>
    <w:rsid w:val="00CE21E9"/>
    <w:rsid w:val="00CE36D9"/>
    <w:rsid w:val="00CF1634"/>
    <w:rsid w:val="00CF2067"/>
    <w:rsid w:val="00CF3C6B"/>
    <w:rsid w:val="00CF7DA1"/>
    <w:rsid w:val="00D01013"/>
    <w:rsid w:val="00D01BEF"/>
    <w:rsid w:val="00D02624"/>
    <w:rsid w:val="00D0574A"/>
    <w:rsid w:val="00D0622D"/>
    <w:rsid w:val="00D175AE"/>
    <w:rsid w:val="00D247AE"/>
    <w:rsid w:val="00D254D0"/>
    <w:rsid w:val="00D27C9B"/>
    <w:rsid w:val="00D311E8"/>
    <w:rsid w:val="00D34795"/>
    <w:rsid w:val="00D42333"/>
    <w:rsid w:val="00D4359F"/>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817FC"/>
    <w:rsid w:val="00D8295F"/>
    <w:rsid w:val="00D92366"/>
    <w:rsid w:val="00D92913"/>
    <w:rsid w:val="00D93172"/>
    <w:rsid w:val="00D955E2"/>
    <w:rsid w:val="00DA111C"/>
    <w:rsid w:val="00DA2140"/>
    <w:rsid w:val="00DA727F"/>
    <w:rsid w:val="00DB12FD"/>
    <w:rsid w:val="00DB1619"/>
    <w:rsid w:val="00DB249F"/>
    <w:rsid w:val="00DB76E1"/>
    <w:rsid w:val="00DB7C02"/>
    <w:rsid w:val="00DC08E8"/>
    <w:rsid w:val="00DC4E29"/>
    <w:rsid w:val="00DC5F6F"/>
    <w:rsid w:val="00DD0CCD"/>
    <w:rsid w:val="00DD19F6"/>
    <w:rsid w:val="00DD2771"/>
    <w:rsid w:val="00DE2781"/>
    <w:rsid w:val="00DE628A"/>
    <w:rsid w:val="00DE6A62"/>
    <w:rsid w:val="00DF3A4C"/>
    <w:rsid w:val="00E0472E"/>
    <w:rsid w:val="00E071AF"/>
    <w:rsid w:val="00E07F03"/>
    <w:rsid w:val="00E10693"/>
    <w:rsid w:val="00E11EF2"/>
    <w:rsid w:val="00E174F3"/>
    <w:rsid w:val="00E215E4"/>
    <w:rsid w:val="00E222B0"/>
    <w:rsid w:val="00E228DA"/>
    <w:rsid w:val="00E24B4E"/>
    <w:rsid w:val="00E27526"/>
    <w:rsid w:val="00E34B49"/>
    <w:rsid w:val="00E3618D"/>
    <w:rsid w:val="00E36E3A"/>
    <w:rsid w:val="00E40D33"/>
    <w:rsid w:val="00E453E8"/>
    <w:rsid w:val="00E45B72"/>
    <w:rsid w:val="00E46F33"/>
    <w:rsid w:val="00E46F45"/>
    <w:rsid w:val="00E47B95"/>
    <w:rsid w:val="00E50A85"/>
    <w:rsid w:val="00E51082"/>
    <w:rsid w:val="00E608CB"/>
    <w:rsid w:val="00E64331"/>
    <w:rsid w:val="00E66880"/>
    <w:rsid w:val="00E7028C"/>
    <w:rsid w:val="00E77153"/>
    <w:rsid w:val="00E7785E"/>
    <w:rsid w:val="00E81BC3"/>
    <w:rsid w:val="00E8295D"/>
    <w:rsid w:val="00E83413"/>
    <w:rsid w:val="00E846AE"/>
    <w:rsid w:val="00E84911"/>
    <w:rsid w:val="00E93BD0"/>
    <w:rsid w:val="00E95351"/>
    <w:rsid w:val="00E958AD"/>
    <w:rsid w:val="00EA0420"/>
    <w:rsid w:val="00EA113A"/>
    <w:rsid w:val="00EA6E1D"/>
    <w:rsid w:val="00EB124E"/>
    <w:rsid w:val="00EB3C8C"/>
    <w:rsid w:val="00EB3FEC"/>
    <w:rsid w:val="00EB6495"/>
    <w:rsid w:val="00EC07E2"/>
    <w:rsid w:val="00EC1B21"/>
    <w:rsid w:val="00EC3538"/>
    <w:rsid w:val="00ED4EB9"/>
    <w:rsid w:val="00ED62EF"/>
    <w:rsid w:val="00EE10FA"/>
    <w:rsid w:val="00EE4732"/>
    <w:rsid w:val="00EE5562"/>
    <w:rsid w:val="00EE70B4"/>
    <w:rsid w:val="00EF4CDD"/>
    <w:rsid w:val="00F01B68"/>
    <w:rsid w:val="00F0233B"/>
    <w:rsid w:val="00F0281D"/>
    <w:rsid w:val="00F031DD"/>
    <w:rsid w:val="00F03C71"/>
    <w:rsid w:val="00F05FD3"/>
    <w:rsid w:val="00F0743E"/>
    <w:rsid w:val="00F07FEF"/>
    <w:rsid w:val="00F11FA2"/>
    <w:rsid w:val="00F20B34"/>
    <w:rsid w:val="00F221CA"/>
    <w:rsid w:val="00F2258E"/>
    <w:rsid w:val="00F31D00"/>
    <w:rsid w:val="00F3335A"/>
    <w:rsid w:val="00F4014C"/>
    <w:rsid w:val="00F424ED"/>
    <w:rsid w:val="00F46594"/>
    <w:rsid w:val="00F46816"/>
    <w:rsid w:val="00F50B89"/>
    <w:rsid w:val="00F50DF2"/>
    <w:rsid w:val="00F510A0"/>
    <w:rsid w:val="00F51C7D"/>
    <w:rsid w:val="00F56E1A"/>
    <w:rsid w:val="00F6798C"/>
    <w:rsid w:val="00F7527C"/>
    <w:rsid w:val="00F82D50"/>
    <w:rsid w:val="00F8537A"/>
    <w:rsid w:val="00F90907"/>
    <w:rsid w:val="00F92876"/>
    <w:rsid w:val="00F92E6C"/>
    <w:rsid w:val="00F932A6"/>
    <w:rsid w:val="00F9667E"/>
    <w:rsid w:val="00F97A82"/>
    <w:rsid w:val="00FA0E62"/>
    <w:rsid w:val="00FA7A88"/>
    <w:rsid w:val="00FA7F0C"/>
    <w:rsid w:val="00FB68FD"/>
    <w:rsid w:val="00FC3543"/>
    <w:rsid w:val="00FC3A78"/>
    <w:rsid w:val="00FC422B"/>
    <w:rsid w:val="00FD0207"/>
    <w:rsid w:val="00FD10CC"/>
    <w:rsid w:val="00FE5CAE"/>
    <w:rsid w:val="00FF1BB4"/>
    <w:rsid w:val="00FF22EA"/>
    <w:rsid w:val="00FF34C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B9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B9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635CC-184B-411D-93C7-DE4048A8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aharrma</dc:creator>
  <cp:lastModifiedBy>Burke, Teresa</cp:lastModifiedBy>
  <cp:revision>5</cp:revision>
  <cp:lastPrinted>2019-04-30T17:05:00Z</cp:lastPrinted>
  <dcterms:created xsi:type="dcterms:W3CDTF">2019-09-19T12:40:00Z</dcterms:created>
  <dcterms:modified xsi:type="dcterms:W3CDTF">2019-09-19T15:28:00Z</dcterms:modified>
</cp:coreProperties>
</file>